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36"/>
        </w:rPr>
      </w:pPr>
      <w:r>
        <w:rPr>
          <w:rFonts w:hint="eastAsia"/>
          <w:b/>
          <w:sz w:val="28"/>
          <w:szCs w:val="36"/>
        </w:rPr>
        <w:t>试 讲 内 容</w:t>
      </w:r>
    </w:p>
    <w:p>
      <w:pPr>
        <w:jc w:val="center"/>
        <w:rPr>
          <w:b/>
          <w:sz w:val="28"/>
          <w:szCs w:val="48"/>
        </w:rPr>
      </w:pPr>
    </w:p>
    <w:tbl>
      <w:tblPr>
        <w:tblStyle w:val="5"/>
        <w:tblW w:w="8141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41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招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聘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位</w:t>
            </w:r>
          </w:p>
        </w:tc>
        <w:tc>
          <w:tcPr>
            <w:tcW w:w="4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思政</w:t>
            </w:r>
            <w:r>
              <w:rPr>
                <w:rFonts w:hint="default" w:cs="宋体"/>
                <w:kern w:val="0"/>
                <w:sz w:val="28"/>
                <w:szCs w:val="28"/>
                <w:lang w:eastAsia="zh-CN"/>
              </w:rPr>
              <w:t>课</w:t>
            </w:r>
            <w:r>
              <w:rPr>
                <w:rFonts w:hint="eastAsia" w:cs="宋体"/>
                <w:kern w:val="0"/>
                <w:sz w:val="28"/>
                <w:szCs w:val="28"/>
              </w:rPr>
              <w:t>教</w:t>
            </w: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师</w:t>
            </w:r>
            <w:r>
              <w:rPr>
                <w:rFonts w:hint="eastAsia" w:cs="宋体"/>
                <w:kern w:val="0"/>
                <w:sz w:val="28"/>
                <w:szCs w:val="28"/>
              </w:rPr>
              <w:t>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4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建设美丽中国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4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第十章：“五位一体”总体布局</w:t>
            </w:r>
          </w:p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第五节：</w:t>
            </w: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建设美丽中国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4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" w:lineRule="atLeast"/>
              <w:ind w:left="0" w:right="0" w:firstLine="0"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《毛泽东思想和中国特色社会主义理论体系概论》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作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cs="宋体"/>
                <w:kern w:val="0"/>
                <w:sz w:val="28"/>
                <w:szCs w:val="28"/>
              </w:rPr>
              <w:t>者</w:t>
            </w:r>
          </w:p>
        </w:tc>
        <w:tc>
          <w:tcPr>
            <w:tcW w:w="4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cs="宋体" w:eastAsiaTheme="minorEastAsia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eastAsia="zh-CN"/>
              </w:rPr>
              <w:t>本书编写组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cs="宋体"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 w:val="28"/>
                <w:szCs w:val="28"/>
              </w:rPr>
            </w:pPr>
            <w:r>
              <w:rPr>
                <w:rFonts w:hint="eastAsia" w:cs="宋体"/>
                <w:kern w:val="0"/>
                <w:sz w:val="28"/>
                <w:szCs w:val="28"/>
              </w:rPr>
              <w:t>出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版</w:t>
            </w:r>
            <w:r>
              <w:rPr>
                <w:rFonts w:ascii="Times New Roman" w:hAnsi="Times New Roman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cs="宋体"/>
                <w:kern w:val="0"/>
                <w:sz w:val="28"/>
                <w:szCs w:val="28"/>
              </w:rPr>
              <w:t>社</w:t>
            </w:r>
          </w:p>
        </w:tc>
        <w:tc>
          <w:tcPr>
            <w:tcW w:w="4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840" w:firstLineChars="300"/>
              <w:jc w:val="both"/>
              <w:rPr>
                <w:rFonts w:hint="default" w:cs="宋体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kern w:val="0"/>
                <w:sz w:val="28"/>
                <w:szCs w:val="28"/>
                <w:lang w:val="en-US" w:eastAsia="zh-CN"/>
              </w:rPr>
              <w:t>高等教育出版社</w:t>
            </w:r>
          </w:p>
        </w:tc>
      </w:tr>
    </w:tbl>
    <w:p>
      <w:pPr>
        <w:rPr>
          <w:sz w:val="28"/>
        </w:rPr>
      </w:pPr>
    </w:p>
    <w:p>
      <w:pPr>
        <w:spacing w:line="360" w:lineRule="auto"/>
        <w:ind w:firstLine="562" w:firstLineChars="200"/>
        <w:rPr>
          <w:rFonts w:hint="eastAsia" w:ascii="仿宋" w:hAnsi="仿宋" w:eastAsia="楷体" w:cs="仿宋"/>
          <w:b/>
          <w:bCs/>
          <w:sz w:val="28"/>
          <w:szCs w:val="32"/>
          <w:lang w:val="en-US" w:eastAsia="zh-CN"/>
        </w:rPr>
      </w:pPr>
      <w:r>
        <w:rPr>
          <w:rFonts w:hint="eastAsia" w:ascii="仿宋" w:hAnsi="仿宋" w:eastAsia="楷体" w:cs="仿宋"/>
          <w:b/>
          <w:bCs/>
          <w:sz w:val="28"/>
          <w:szCs w:val="32"/>
          <w:lang w:val="en-US" w:eastAsia="zh-CN"/>
        </w:rPr>
        <w:t>推动绿色发展，促进人与自然和谐共生</w:t>
      </w:r>
    </w:p>
    <w:p>
      <w:pPr>
        <w:snapToGrid w:val="0"/>
        <w:spacing w:line="240" w:lineRule="auto"/>
        <w:ind w:firstLine="562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32"/>
          <w:lang w:val="en-US" w:eastAsia="zh-CN"/>
        </w:rPr>
        <w:t>（1）加快形成绿色生活方式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生态文明建设必须从我做起，要内化到日常生活中。对于这一点，习近平总书记在其对生态文明思想的论述中多有涉及。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“我们应该追求热爱自然情怀。‘取之有度，用之有节’，是生态文明的真谛。我们要倡导简约适度、绿色低碳的生活方式，拒绝奢华和浪费，形成文明健康的生活风尚。要倡导环保意识、生态意识，构建全社会共同参与的环境治理体系，让生态环保思想成为社会生活中的主流文化。要倡导尊重自然、爱护自然的绿色价值观念，让天蓝地绿水清深入人心，形成深刻的人文情怀。”</w:t>
      </w:r>
    </w:p>
    <w:p>
      <w:pPr>
        <w:snapToGrid w:val="0"/>
        <w:spacing w:line="240" w:lineRule="auto"/>
        <w:ind w:firstLine="562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32"/>
          <w:lang w:val="en-US" w:eastAsia="zh-CN"/>
        </w:rPr>
        <w:t>生态文明建设需要我们建立一种什么样的生活方式？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按照天时的作息生活；道法自然的智慧生活；顺应季节的饮食生活；热爱生命的有机生活；节俭消费的低碳生活。</w:t>
      </w:r>
    </w:p>
    <w:p>
      <w:pPr>
        <w:snapToGrid w:val="0"/>
        <w:spacing w:line="240" w:lineRule="auto"/>
        <w:ind w:firstLine="562" w:firstLineChars="200"/>
        <w:jc w:val="left"/>
        <w:rPr>
          <w:rFonts w:hint="eastAsia" w:ascii="仿宋" w:hAnsi="仿宋" w:eastAsia="仿宋" w:cs="仿宋"/>
          <w:b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32"/>
          <w:lang w:val="en-US" w:eastAsia="zh-CN"/>
        </w:rPr>
        <w:t>（2）加快形成绿色发展方式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大力发展循环经济，转换发展动能，提高资源利用率，降低废品产生量，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加强生态环境管理，推动绿色技术发展；以重大科技项目为龙头，推进生态环境科技创新；加快科技体制改革，促进科技成果转化；优化政策环境，助力绿色发展和科技创新。</w:t>
      </w:r>
      <w:bookmarkStart w:id="0" w:name="_GoBack"/>
      <w:bookmarkEnd w:id="0"/>
    </w:p>
    <w:p>
      <w:pPr>
        <w:snapToGrid w:val="0"/>
        <w:spacing w:line="240" w:lineRule="auto"/>
        <w:ind w:firstLine="562" w:firstLineChars="200"/>
        <w:jc w:val="left"/>
        <w:rPr>
          <w:rFonts w:hint="eastAsia" w:ascii="仿宋" w:hAnsi="仿宋" w:eastAsia="楷体" w:cs="仿宋"/>
          <w:b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楷体" w:cs="仿宋"/>
          <w:b/>
          <w:bCs w:val="0"/>
          <w:sz w:val="28"/>
          <w:szCs w:val="32"/>
          <w:lang w:val="en-US" w:eastAsia="zh-CN"/>
        </w:rPr>
        <w:t>3.深入推进生态文明体制改革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生态文明体制改革是全面深化改革的重要领域，也是打好污染防治攻坚战的重要保障。形成了生态文明制度的“四梁八柱”。自然资源部和生态环境部的组建，有效解决了我国生态环境领域长期存在的九龙治水、多头治理以及所有者与监管者职责不清晰等问题，理顺了生态文明管理体制机制。</w:t>
      </w:r>
    </w:p>
    <w:p>
      <w:pPr>
        <w:snapToGrid w:val="0"/>
        <w:spacing w:line="240" w:lineRule="auto"/>
        <w:ind w:firstLine="562" w:firstLineChars="200"/>
        <w:jc w:val="left"/>
        <w:rPr>
          <w:rFonts w:hint="eastAsia" w:ascii="仿宋" w:hAnsi="仿宋" w:eastAsia="楷体" w:cs="仿宋"/>
          <w:b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楷体" w:cs="仿宋"/>
          <w:b/>
          <w:bCs w:val="0"/>
          <w:sz w:val="28"/>
          <w:szCs w:val="32"/>
          <w:lang w:val="en-US" w:eastAsia="zh-CN"/>
        </w:rPr>
        <w:t>4.有效防范生态环境风险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生态环境安全是国家安全的重要组成部分，是经济社会持续健康发展的重要保障。始终保持高度警觉，防止各类生态环境风险积聚扩散，做好应对任何形式生态环境风险挑战的准备。把生态环境风险纳入常态化管理，系统构建全过程、多层级生态环境风险防范体系，严密防控重点领域生态环境风险，着力提升突发环境事件应急处置能力。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生态环境风险具有高度的多样性和复杂性。其表现形式十分复杂：大气污染、水污染、土壤污染、水土流失、自然灾害、荒漠化、生态系统退化、海洋环境问题、新型污染物、农村环境问题、气候变化、环境污染事故、环境社会性群体事件、外来物种入侵等。</w:t>
      </w:r>
    </w:p>
    <w:p>
      <w:pPr>
        <w:numPr>
          <w:ilvl w:val="0"/>
          <w:numId w:val="0"/>
        </w:numPr>
        <w:snapToGrid w:val="0"/>
        <w:spacing w:line="240" w:lineRule="auto"/>
        <w:ind w:firstLine="843" w:firstLineChars="300"/>
        <w:jc w:val="left"/>
        <w:rPr>
          <w:rFonts w:hint="eastAsia" w:ascii="仿宋" w:hAnsi="仿宋" w:eastAsia="仿宋" w:cs="仿宋"/>
          <w:b/>
          <w:bCs w:val="0"/>
          <w:sz w:val="28"/>
          <w:szCs w:val="32"/>
          <w:lang w:val="en-US" w:eastAsia="zh-CN"/>
        </w:rPr>
      </w:pPr>
      <w:r>
        <w:rPr>
          <w:rFonts w:hint="eastAsia" w:ascii="仿宋" w:hAnsi="仿宋" w:eastAsia="楷体" w:cs="仿宋"/>
          <w:b/>
          <w:bCs w:val="0"/>
          <w:sz w:val="28"/>
          <w:szCs w:val="32"/>
          <w:lang w:val="en-US" w:eastAsia="zh-CN"/>
        </w:rPr>
        <w:t>5.提高环境治理水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环境治理是系统工程，提高环境治理水平，需要综合运用行政、市场、法治、科技等多种手段。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充分运用市场化手段，撬动更多社会资本进入生态环境保护领域，将生态环境成本纳入经济运行成本。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采取多种方式支持政府和社会资本合作项目，加大重大项目科技攻关，对涉及经济社会发展的重大生态环境问题开展对策性研究。</w:t>
      </w:r>
    </w:p>
    <w:p>
      <w:pPr>
        <w:snapToGrid w:val="0"/>
        <w:spacing w:line="24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28"/>
          <w:szCs w:val="32"/>
          <w:lang w:val="en-US" w:eastAsia="zh-CN"/>
        </w:rPr>
        <w:t>实施积极应对气候变化国家战略，彰显中国负责任大国形象。</w:t>
      </w:r>
    </w:p>
    <w:p>
      <w:pPr>
        <w:spacing w:line="360" w:lineRule="auto"/>
        <w:ind w:firstLine="562" w:firstLineChars="200"/>
        <w:rPr>
          <w:rFonts w:hint="eastAsia" w:ascii="仿宋" w:hAnsi="仿宋" w:eastAsia="楷体" w:cs="仿宋"/>
          <w:b/>
          <w:bCs/>
          <w:sz w:val="28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lYTc4MDlkNDgyYzQ2NTNlMmEwMzdhZWJlZDIwZWQifQ=="/>
  </w:docVars>
  <w:rsids>
    <w:rsidRoot w:val="001514E5"/>
    <w:rsid w:val="000060F5"/>
    <w:rsid w:val="000205FD"/>
    <w:rsid w:val="00115715"/>
    <w:rsid w:val="001514E5"/>
    <w:rsid w:val="00167250"/>
    <w:rsid w:val="0017318B"/>
    <w:rsid w:val="00174891"/>
    <w:rsid w:val="00181AE5"/>
    <w:rsid w:val="00190183"/>
    <w:rsid w:val="001B452E"/>
    <w:rsid w:val="0022290E"/>
    <w:rsid w:val="002264AE"/>
    <w:rsid w:val="002568BF"/>
    <w:rsid w:val="00257FDF"/>
    <w:rsid w:val="002B09B0"/>
    <w:rsid w:val="002C5AB9"/>
    <w:rsid w:val="002D3A7E"/>
    <w:rsid w:val="002E5549"/>
    <w:rsid w:val="00313674"/>
    <w:rsid w:val="003147B1"/>
    <w:rsid w:val="00317818"/>
    <w:rsid w:val="003477A3"/>
    <w:rsid w:val="003953CE"/>
    <w:rsid w:val="003A6CE3"/>
    <w:rsid w:val="003D5F34"/>
    <w:rsid w:val="004007F9"/>
    <w:rsid w:val="00415874"/>
    <w:rsid w:val="004158AA"/>
    <w:rsid w:val="00435A32"/>
    <w:rsid w:val="00447C45"/>
    <w:rsid w:val="004872B4"/>
    <w:rsid w:val="004A2286"/>
    <w:rsid w:val="00507568"/>
    <w:rsid w:val="005414B7"/>
    <w:rsid w:val="005459A9"/>
    <w:rsid w:val="00552AF7"/>
    <w:rsid w:val="005755BE"/>
    <w:rsid w:val="005960E1"/>
    <w:rsid w:val="005C0EF9"/>
    <w:rsid w:val="005C2BBB"/>
    <w:rsid w:val="005F199A"/>
    <w:rsid w:val="00600623"/>
    <w:rsid w:val="00697259"/>
    <w:rsid w:val="006C2BDD"/>
    <w:rsid w:val="006F06DE"/>
    <w:rsid w:val="007005D8"/>
    <w:rsid w:val="007124CD"/>
    <w:rsid w:val="0071685F"/>
    <w:rsid w:val="007178BD"/>
    <w:rsid w:val="00731B6A"/>
    <w:rsid w:val="00767F4C"/>
    <w:rsid w:val="00781EC9"/>
    <w:rsid w:val="00785821"/>
    <w:rsid w:val="007A1813"/>
    <w:rsid w:val="007B0009"/>
    <w:rsid w:val="007C385A"/>
    <w:rsid w:val="007D49CB"/>
    <w:rsid w:val="007E1856"/>
    <w:rsid w:val="007E375A"/>
    <w:rsid w:val="007E4538"/>
    <w:rsid w:val="007F30CC"/>
    <w:rsid w:val="00826E82"/>
    <w:rsid w:val="008276A7"/>
    <w:rsid w:val="008358E9"/>
    <w:rsid w:val="0084144E"/>
    <w:rsid w:val="008F58D5"/>
    <w:rsid w:val="00912DAB"/>
    <w:rsid w:val="00913123"/>
    <w:rsid w:val="00920F8E"/>
    <w:rsid w:val="00931937"/>
    <w:rsid w:val="009371D3"/>
    <w:rsid w:val="00956E51"/>
    <w:rsid w:val="00972167"/>
    <w:rsid w:val="009F33FD"/>
    <w:rsid w:val="00A237D9"/>
    <w:rsid w:val="00A47689"/>
    <w:rsid w:val="00A8022C"/>
    <w:rsid w:val="00AD0E15"/>
    <w:rsid w:val="00AD6C01"/>
    <w:rsid w:val="00AD70B1"/>
    <w:rsid w:val="00AE06E0"/>
    <w:rsid w:val="00B018FB"/>
    <w:rsid w:val="00B542C1"/>
    <w:rsid w:val="00B55A74"/>
    <w:rsid w:val="00B64146"/>
    <w:rsid w:val="00B70FCB"/>
    <w:rsid w:val="00B73A01"/>
    <w:rsid w:val="00B869A3"/>
    <w:rsid w:val="00BB6000"/>
    <w:rsid w:val="00BB6AA9"/>
    <w:rsid w:val="00BF0FE2"/>
    <w:rsid w:val="00C02FE2"/>
    <w:rsid w:val="00C23EE5"/>
    <w:rsid w:val="00C319BF"/>
    <w:rsid w:val="00C46098"/>
    <w:rsid w:val="00C55E61"/>
    <w:rsid w:val="00C60F5A"/>
    <w:rsid w:val="00CC51D4"/>
    <w:rsid w:val="00CE42A3"/>
    <w:rsid w:val="00CF2DEB"/>
    <w:rsid w:val="00D11BB2"/>
    <w:rsid w:val="00D13903"/>
    <w:rsid w:val="00D21E9A"/>
    <w:rsid w:val="00DA2A07"/>
    <w:rsid w:val="00DA2DD8"/>
    <w:rsid w:val="00DA317E"/>
    <w:rsid w:val="00DB4693"/>
    <w:rsid w:val="00DC0A38"/>
    <w:rsid w:val="00E162CC"/>
    <w:rsid w:val="00E26BA2"/>
    <w:rsid w:val="00E32E56"/>
    <w:rsid w:val="00E33CF3"/>
    <w:rsid w:val="00E4488F"/>
    <w:rsid w:val="00E571A1"/>
    <w:rsid w:val="00E660D0"/>
    <w:rsid w:val="00EC1B51"/>
    <w:rsid w:val="00F37B13"/>
    <w:rsid w:val="00F43739"/>
    <w:rsid w:val="00F8757F"/>
    <w:rsid w:val="00F94B1B"/>
    <w:rsid w:val="00FB045E"/>
    <w:rsid w:val="0BFC0C1E"/>
    <w:rsid w:val="14653BFC"/>
    <w:rsid w:val="1B716621"/>
    <w:rsid w:val="1EBA7D2D"/>
    <w:rsid w:val="2171483A"/>
    <w:rsid w:val="256C2B78"/>
    <w:rsid w:val="2C491D5B"/>
    <w:rsid w:val="2CE14B5B"/>
    <w:rsid w:val="2D5C292D"/>
    <w:rsid w:val="2FAF21BD"/>
    <w:rsid w:val="31D348C3"/>
    <w:rsid w:val="3A08671D"/>
    <w:rsid w:val="48347E46"/>
    <w:rsid w:val="499E3BFB"/>
    <w:rsid w:val="4DAB6E1D"/>
    <w:rsid w:val="4E6E5D35"/>
    <w:rsid w:val="51363DAD"/>
    <w:rsid w:val="519C0ACF"/>
    <w:rsid w:val="59744A0B"/>
    <w:rsid w:val="621F6AC6"/>
    <w:rsid w:val="63770902"/>
    <w:rsid w:val="63CC34DA"/>
    <w:rsid w:val="F75D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2348</Words>
  <Characters>2351</Characters>
  <Lines>9</Lines>
  <Paragraphs>2</Paragraphs>
  <TotalTime>4</TotalTime>
  <ScaleCrop>false</ScaleCrop>
  <LinksUpToDate>false</LinksUpToDate>
  <CharactersWithSpaces>2375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2019-06-19T14:32:00Z</dcterms:created>
  <dc:creator>Windows 用户</dc:creator>
  <cp:lastModifiedBy>Mi-rost</cp:lastModifiedBy>
  <cp:lastPrinted>2018-10-12T16:16:00Z</cp:lastPrinted>
  <dcterms:modified xsi:type="dcterms:W3CDTF">2022-08-18T05:36:31Z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7AB379B3E4DC4445BC9563F57E242C63</vt:lpwstr>
  </property>
</Properties>
</file>