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rFonts w:hint="eastAsia"/>
          <w:b/>
          <w:sz w:val="36"/>
          <w:szCs w:val="36"/>
        </w:rPr>
        <w:t>试讲内容</w:t>
      </w:r>
    </w:p>
    <w:p>
      <w:pPr>
        <w:jc w:val="center"/>
        <w:rPr>
          <w:b/>
          <w:sz w:val="48"/>
          <w:szCs w:val="48"/>
        </w:rPr>
      </w:pPr>
    </w:p>
    <w:tbl>
      <w:tblPr>
        <w:tblStyle w:val="5"/>
        <w:tblW w:w="7820" w:type="dxa"/>
        <w:tblInd w:w="103" w:type="dxa"/>
        <w:tblLayout w:type="fixed"/>
        <w:tblCellMar>
          <w:top w:w="0" w:type="dxa"/>
          <w:left w:w="108" w:type="dxa"/>
          <w:bottom w:w="0" w:type="dxa"/>
          <w:right w:w="108" w:type="dxa"/>
        </w:tblCellMar>
      </w:tblPr>
      <w:tblGrid>
        <w:gridCol w:w="952"/>
        <w:gridCol w:w="3068"/>
        <w:gridCol w:w="3800"/>
      </w:tblGrid>
      <w:tr>
        <w:tblPrEx>
          <w:tblCellMar>
            <w:top w:w="0" w:type="dxa"/>
            <w:left w:w="108" w:type="dxa"/>
            <w:bottom w:w="0" w:type="dxa"/>
            <w:right w:w="108" w:type="dxa"/>
          </w:tblCellMar>
        </w:tblPrEx>
        <w:trPr>
          <w:trHeight w:val="90" w:hRule="atLeast"/>
        </w:trPr>
        <w:tc>
          <w:tcPr>
            <w:tcW w:w="402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lang w:eastAsia="zh-CN"/>
              </w:rPr>
              <w:t>招</w:t>
            </w:r>
            <w:r>
              <w:rPr>
                <w:rFonts w:hint="eastAsia" w:cs="宋体"/>
                <w:kern w:val="0"/>
                <w:sz w:val="28"/>
                <w:szCs w:val="28"/>
              </w:rPr>
              <w:t>聘岗位</w:t>
            </w:r>
          </w:p>
        </w:tc>
        <w:tc>
          <w:tcPr>
            <w:tcW w:w="3800" w:type="dxa"/>
            <w:tcBorders>
              <w:top w:val="single" w:color="auto" w:sz="4" w:space="0"/>
              <w:left w:val="nil"/>
              <w:bottom w:val="single" w:color="auto" w:sz="4" w:space="0"/>
              <w:right w:val="single" w:color="auto" w:sz="4" w:space="0"/>
            </w:tcBorders>
            <w:vAlign w:val="center"/>
          </w:tcPr>
          <w:p>
            <w:pPr>
              <w:widowControl/>
              <w:jc w:val="center"/>
              <w:rPr>
                <w:rFonts w:hint="default" w:cs="宋体" w:eastAsiaTheme="minorEastAsia"/>
                <w:kern w:val="0"/>
                <w:sz w:val="28"/>
                <w:szCs w:val="28"/>
                <w:lang w:val="en-US" w:eastAsia="zh-CN"/>
              </w:rPr>
            </w:pPr>
            <w:r>
              <w:rPr>
                <w:rFonts w:hint="eastAsia" w:cs="宋体"/>
                <w:kern w:val="0"/>
                <w:sz w:val="28"/>
                <w:szCs w:val="28"/>
                <w:lang w:val="en-US" w:eastAsia="zh-CN"/>
              </w:rPr>
              <w:t>新闻教师</w:t>
            </w:r>
          </w:p>
        </w:tc>
      </w:tr>
      <w:tr>
        <w:tblPrEx>
          <w:tblCellMar>
            <w:top w:w="0" w:type="dxa"/>
            <w:left w:w="108" w:type="dxa"/>
            <w:bottom w:w="0" w:type="dxa"/>
            <w:right w:w="108" w:type="dxa"/>
          </w:tblCellMar>
        </w:tblPrEx>
        <w:trPr>
          <w:trHeight w:val="499" w:hRule="atLeast"/>
        </w:trPr>
        <w:tc>
          <w:tcPr>
            <w:tcW w:w="952" w:type="dxa"/>
            <w:vMerge w:val="restart"/>
            <w:tcBorders>
              <w:top w:val="nil"/>
              <w:left w:val="single" w:color="auto" w:sz="4" w:space="0"/>
              <w:bottom w:val="single" w:color="auto" w:sz="4" w:space="0"/>
              <w:right w:val="single" w:color="auto" w:sz="4" w:space="0"/>
            </w:tcBorders>
            <w:vAlign w:val="center"/>
          </w:tcPr>
          <w:p>
            <w:pPr>
              <w:widowControl/>
              <w:rPr>
                <w:rFonts w:cs="宋体"/>
                <w:kern w:val="0"/>
                <w:sz w:val="28"/>
                <w:szCs w:val="28"/>
              </w:rPr>
            </w:pPr>
            <w:r>
              <w:rPr>
                <w:rFonts w:hint="eastAsia" w:cs="宋体"/>
                <w:kern w:val="0"/>
                <w:sz w:val="28"/>
                <w:szCs w:val="28"/>
              </w:rPr>
              <w:t>试讲</w:t>
            </w: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具体内容</w:t>
            </w:r>
          </w:p>
        </w:tc>
        <w:tc>
          <w:tcPr>
            <w:tcW w:w="3800" w:type="dxa"/>
            <w:tcBorders>
              <w:top w:val="nil"/>
              <w:left w:val="nil"/>
              <w:bottom w:val="single" w:color="auto" w:sz="4" w:space="0"/>
              <w:right w:val="single" w:color="auto" w:sz="4" w:space="0"/>
            </w:tcBorders>
            <w:vAlign w:val="center"/>
          </w:tcPr>
          <w:p>
            <w:pPr>
              <w:widowControl/>
              <w:jc w:val="center"/>
              <w:rPr>
                <w:rFonts w:hint="default" w:cs="宋体" w:eastAsiaTheme="minorEastAsia"/>
                <w:kern w:val="0"/>
                <w:sz w:val="28"/>
                <w:szCs w:val="28"/>
                <w:lang w:val="en-US" w:eastAsia="zh-CN"/>
              </w:rPr>
            </w:pPr>
            <w:r>
              <w:rPr>
                <w:rFonts w:hint="eastAsia" w:cs="宋体"/>
                <w:kern w:val="0"/>
                <w:sz w:val="28"/>
                <w:szCs w:val="28"/>
                <w:lang w:val="en-US" w:eastAsia="zh-CN"/>
              </w:rPr>
              <w:t>新闻导语</w:t>
            </w:r>
          </w:p>
        </w:tc>
      </w:tr>
      <w:tr>
        <w:tblPrEx>
          <w:tblCellMar>
            <w:top w:w="0" w:type="dxa"/>
            <w:left w:w="108" w:type="dxa"/>
            <w:bottom w:w="0" w:type="dxa"/>
            <w:right w:w="108" w:type="dxa"/>
          </w:tblCellMar>
        </w:tblPrEx>
        <w:trPr>
          <w:trHeight w:val="720" w:hRule="atLeast"/>
        </w:trPr>
        <w:tc>
          <w:tcPr>
            <w:tcW w:w="952" w:type="dxa"/>
            <w:vMerge w:val="continue"/>
            <w:tcBorders>
              <w:top w:val="nil"/>
              <w:left w:val="single" w:color="auto" w:sz="4" w:space="0"/>
              <w:bottom w:val="single" w:color="auto" w:sz="4" w:space="0"/>
              <w:right w:val="single" w:color="auto" w:sz="4" w:space="0"/>
            </w:tcBorders>
            <w:vAlign w:val="center"/>
          </w:tcPr>
          <w:p>
            <w:pPr>
              <w:widowControl/>
              <w:rPr>
                <w:rFonts w:cs="宋体"/>
                <w:kern w:val="0"/>
                <w:sz w:val="28"/>
                <w:szCs w:val="28"/>
              </w:rPr>
            </w:pP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具体章节</w:t>
            </w:r>
          </w:p>
        </w:tc>
        <w:tc>
          <w:tcPr>
            <w:tcW w:w="3800" w:type="dxa"/>
            <w:tcBorders>
              <w:top w:val="nil"/>
              <w:left w:val="nil"/>
              <w:bottom w:val="single" w:color="auto" w:sz="4" w:space="0"/>
              <w:right w:val="single" w:color="auto" w:sz="4" w:space="0"/>
            </w:tcBorders>
            <w:vAlign w:val="center"/>
          </w:tcPr>
          <w:p>
            <w:pPr>
              <w:widowControl/>
              <w:jc w:val="center"/>
              <w:rPr>
                <w:rFonts w:hint="eastAsia" w:cs="宋体" w:eastAsiaTheme="minorEastAsia"/>
                <w:kern w:val="0"/>
                <w:sz w:val="28"/>
                <w:szCs w:val="28"/>
                <w:lang w:eastAsia="zh-CN"/>
              </w:rPr>
            </w:pPr>
            <w:r>
              <w:rPr>
                <w:rFonts w:hint="eastAsia" w:cs="宋体"/>
                <w:kern w:val="0"/>
                <w:sz w:val="28"/>
                <w:szCs w:val="28"/>
                <w:lang w:val="en-US" w:eastAsia="zh-CN"/>
              </w:rPr>
              <w:t>第十章</w:t>
            </w:r>
          </w:p>
        </w:tc>
      </w:tr>
      <w:tr>
        <w:tblPrEx>
          <w:tblCellMar>
            <w:top w:w="0" w:type="dxa"/>
            <w:left w:w="108" w:type="dxa"/>
            <w:bottom w:w="0" w:type="dxa"/>
            <w:right w:w="108" w:type="dxa"/>
          </w:tblCellMar>
        </w:tblPrEx>
        <w:trPr>
          <w:trHeight w:val="499" w:hRule="atLeast"/>
        </w:trPr>
        <w:tc>
          <w:tcPr>
            <w:tcW w:w="952" w:type="dxa"/>
            <w:vMerge w:val="continue"/>
            <w:tcBorders>
              <w:top w:val="nil"/>
              <w:left w:val="single" w:color="auto" w:sz="4" w:space="0"/>
              <w:bottom w:val="single" w:color="auto" w:sz="4" w:space="0"/>
              <w:right w:val="single" w:color="auto" w:sz="4" w:space="0"/>
            </w:tcBorders>
            <w:vAlign w:val="center"/>
          </w:tcPr>
          <w:p>
            <w:pPr>
              <w:widowControl/>
              <w:rPr>
                <w:rFonts w:cs="宋体"/>
                <w:kern w:val="0"/>
                <w:sz w:val="28"/>
                <w:szCs w:val="28"/>
              </w:rPr>
            </w:pP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参考书目</w:t>
            </w:r>
          </w:p>
        </w:tc>
        <w:tc>
          <w:tcPr>
            <w:tcW w:w="3800" w:type="dxa"/>
            <w:tcBorders>
              <w:top w:val="nil"/>
              <w:left w:val="nil"/>
              <w:bottom w:val="single" w:color="auto" w:sz="4" w:space="0"/>
              <w:right w:val="single" w:color="auto" w:sz="4" w:space="0"/>
            </w:tcBorders>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 w:lineRule="atLeast"/>
              <w:ind w:left="0" w:right="0" w:firstLine="0"/>
              <w:jc w:val="center"/>
              <w:rPr>
                <w:rFonts w:hint="default" w:cs="宋体"/>
                <w:kern w:val="0"/>
                <w:sz w:val="28"/>
                <w:szCs w:val="28"/>
                <w:lang w:val="en-US"/>
              </w:rPr>
            </w:pPr>
            <w:r>
              <w:rPr>
                <w:rFonts w:hint="eastAsia" w:cs="宋体" w:asciiTheme="minorHAnsi" w:hAnsiTheme="minorHAnsi" w:eastAsiaTheme="minorEastAsia"/>
                <w:b w:val="0"/>
                <w:kern w:val="0"/>
                <w:sz w:val="28"/>
                <w:szCs w:val="28"/>
                <w:lang w:val="en-US" w:eastAsia="zh-CN" w:bidi="ar-SA"/>
              </w:rPr>
              <w:t>融媒体时代新闻采访与写作</w:t>
            </w:r>
          </w:p>
        </w:tc>
      </w:tr>
      <w:tr>
        <w:tblPrEx>
          <w:tblCellMar>
            <w:top w:w="0" w:type="dxa"/>
            <w:left w:w="108" w:type="dxa"/>
            <w:bottom w:w="0" w:type="dxa"/>
            <w:right w:w="108" w:type="dxa"/>
          </w:tblCellMar>
        </w:tblPrEx>
        <w:trPr>
          <w:trHeight w:val="499" w:hRule="atLeast"/>
        </w:trPr>
        <w:tc>
          <w:tcPr>
            <w:tcW w:w="952" w:type="dxa"/>
            <w:vMerge w:val="continue"/>
            <w:tcBorders>
              <w:top w:val="nil"/>
              <w:left w:val="single" w:color="auto" w:sz="4" w:space="0"/>
              <w:bottom w:val="single" w:color="auto" w:sz="4" w:space="0"/>
              <w:right w:val="single" w:color="auto" w:sz="4" w:space="0"/>
            </w:tcBorders>
            <w:vAlign w:val="center"/>
          </w:tcPr>
          <w:p>
            <w:pPr>
              <w:widowControl/>
              <w:rPr>
                <w:rFonts w:cs="宋体"/>
                <w:kern w:val="0"/>
                <w:sz w:val="28"/>
                <w:szCs w:val="28"/>
              </w:rPr>
            </w:pP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作者</w:t>
            </w:r>
          </w:p>
        </w:tc>
        <w:tc>
          <w:tcPr>
            <w:tcW w:w="3800" w:type="dxa"/>
            <w:tcBorders>
              <w:top w:val="nil"/>
              <w:left w:val="nil"/>
              <w:bottom w:val="single" w:color="auto" w:sz="4" w:space="0"/>
              <w:right w:val="single" w:color="auto" w:sz="4" w:space="0"/>
            </w:tcBorders>
            <w:vAlign w:val="center"/>
          </w:tcPr>
          <w:p>
            <w:pPr>
              <w:widowControl/>
              <w:jc w:val="center"/>
              <w:rPr>
                <w:rFonts w:hint="default" w:cs="宋体" w:eastAsiaTheme="minorEastAsia"/>
                <w:kern w:val="0"/>
                <w:sz w:val="28"/>
                <w:szCs w:val="28"/>
                <w:lang w:val="en-US" w:eastAsia="zh-CN"/>
              </w:rPr>
            </w:pPr>
            <w:r>
              <w:rPr>
                <w:rFonts w:hint="eastAsia" w:cs="宋体"/>
                <w:kern w:val="0"/>
                <w:sz w:val="28"/>
                <w:szCs w:val="28"/>
                <w:lang w:val="en-US" w:eastAsia="zh-CN"/>
              </w:rPr>
              <w:t>袁丰雪</w:t>
            </w:r>
          </w:p>
        </w:tc>
      </w:tr>
      <w:tr>
        <w:tblPrEx>
          <w:tblCellMar>
            <w:top w:w="0" w:type="dxa"/>
            <w:left w:w="108" w:type="dxa"/>
            <w:bottom w:w="0" w:type="dxa"/>
            <w:right w:w="108" w:type="dxa"/>
          </w:tblCellMar>
        </w:tblPrEx>
        <w:trPr>
          <w:trHeight w:val="499" w:hRule="atLeast"/>
        </w:trPr>
        <w:tc>
          <w:tcPr>
            <w:tcW w:w="952" w:type="dxa"/>
            <w:vMerge w:val="continue"/>
            <w:tcBorders>
              <w:top w:val="nil"/>
              <w:left w:val="single" w:color="auto" w:sz="4" w:space="0"/>
              <w:bottom w:val="single" w:color="auto" w:sz="4" w:space="0"/>
              <w:right w:val="single" w:color="auto" w:sz="4" w:space="0"/>
            </w:tcBorders>
            <w:vAlign w:val="center"/>
          </w:tcPr>
          <w:p>
            <w:pPr>
              <w:widowControl/>
              <w:rPr>
                <w:rFonts w:cs="宋体"/>
                <w:kern w:val="0"/>
                <w:sz w:val="28"/>
                <w:szCs w:val="28"/>
              </w:rPr>
            </w:pPr>
          </w:p>
        </w:tc>
        <w:tc>
          <w:tcPr>
            <w:tcW w:w="3068" w:type="dxa"/>
            <w:tcBorders>
              <w:top w:val="nil"/>
              <w:left w:val="nil"/>
              <w:bottom w:val="single" w:color="auto" w:sz="4" w:space="0"/>
              <w:right w:val="single" w:color="auto" w:sz="4" w:space="0"/>
            </w:tcBorders>
            <w:vAlign w:val="center"/>
          </w:tcPr>
          <w:p>
            <w:pPr>
              <w:widowControl/>
              <w:jc w:val="center"/>
              <w:rPr>
                <w:rFonts w:cs="宋体"/>
                <w:kern w:val="0"/>
                <w:sz w:val="28"/>
                <w:szCs w:val="28"/>
              </w:rPr>
            </w:pPr>
            <w:r>
              <w:rPr>
                <w:rFonts w:hint="eastAsia" w:cs="宋体"/>
                <w:kern w:val="0"/>
                <w:sz w:val="28"/>
                <w:szCs w:val="28"/>
              </w:rPr>
              <w:t>出版社</w:t>
            </w:r>
          </w:p>
        </w:tc>
        <w:tc>
          <w:tcPr>
            <w:tcW w:w="3800" w:type="dxa"/>
            <w:tcBorders>
              <w:top w:val="nil"/>
              <w:left w:val="nil"/>
              <w:bottom w:val="single" w:color="auto" w:sz="4" w:space="0"/>
              <w:right w:val="single" w:color="auto" w:sz="4" w:space="0"/>
            </w:tcBorders>
            <w:vAlign w:val="center"/>
          </w:tcPr>
          <w:p>
            <w:pPr>
              <w:widowControl/>
              <w:jc w:val="center"/>
              <w:rPr>
                <w:rFonts w:hint="eastAsia" w:cs="宋体" w:eastAsiaTheme="minorEastAsia"/>
                <w:kern w:val="0"/>
                <w:sz w:val="28"/>
                <w:szCs w:val="28"/>
                <w:lang w:val="en-US" w:eastAsia="zh-CN"/>
              </w:rPr>
            </w:pPr>
            <w:r>
              <w:rPr>
                <w:rFonts w:hint="eastAsia" w:cs="宋体"/>
                <w:kern w:val="0"/>
                <w:sz w:val="28"/>
                <w:szCs w:val="28"/>
                <w:lang w:val="en-US" w:eastAsia="zh-CN"/>
              </w:rPr>
              <w:t>新华出版社</w:t>
            </w:r>
          </w:p>
        </w:tc>
      </w:tr>
    </w:tbl>
    <w:p/>
    <w:p>
      <w:pPr>
        <w:spacing w:line="360" w:lineRule="auto"/>
        <w:ind w:firstLine="422" w:firstLineChars="200"/>
        <w:rPr>
          <w:rFonts w:hint="eastAsia" w:asciiTheme="minorEastAsia" w:hAnsiTheme="minorEastAsia" w:eastAsiaTheme="minorEastAsia" w:cstheme="minorEastAsia"/>
          <w:b/>
          <w:bCs/>
          <w:sz w:val="21"/>
          <w:szCs w:val="21"/>
          <w:lang w:val="en-US" w:eastAsia="zh-CN"/>
        </w:rPr>
      </w:pPr>
    </w:p>
    <w:p>
      <w:pPr>
        <w:spacing w:line="360" w:lineRule="auto"/>
        <w:ind w:firstLine="422" w:firstLineChars="200"/>
        <w:rPr>
          <w:rFonts w:hint="eastAsia" w:asciiTheme="minorEastAsia" w:hAnsiTheme="minorEastAsia" w:eastAsiaTheme="minorEastAsia" w:cstheme="minorEastAsia"/>
          <w:b/>
          <w:bCs/>
          <w:sz w:val="21"/>
          <w:szCs w:val="21"/>
          <w:lang w:val="en-US" w:eastAsia="zh-CN"/>
        </w:rPr>
      </w:pPr>
    </w:p>
    <w:p>
      <w:pPr>
        <w:spacing w:line="360" w:lineRule="auto"/>
        <w:ind w:firstLine="422" w:firstLineChars="200"/>
        <w:rPr>
          <w:rFonts w:hint="eastAsia" w:asciiTheme="minorEastAsia" w:hAnsiTheme="minorEastAsia" w:eastAsiaTheme="minorEastAsia" w:cstheme="minorEastAsia"/>
          <w:b/>
          <w:bCs/>
          <w:sz w:val="21"/>
          <w:szCs w:val="21"/>
          <w:lang w:val="en-US" w:eastAsia="zh-CN"/>
        </w:rPr>
      </w:pPr>
    </w:p>
    <w:p>
      <w:pPr>
        <w:spacing w:line="360" w:lineRule="auto"/>
        <w:ind w:firstLine="422" w:firstLineChars="200"/>
        <w:rPr>
          <w:rFonts w:hint="eastAsia" w:asciiTheme="minorEastAsia" w:hAnsiTheme="minorEastAsia" w:eastAsiaTheme="minorEastAsia" w:cstheme="minorEastAsia"/>
          <w:b/>
          <w:bCs/>
          <w:sz w:val="21"/>
          <w:szCs w:val="21"/>
          <w:lang w:val="en-US" w:eastAsia="zh-CN"/>
        </w:rPr>
      </w:pPr>
    </w:p>
    <w:p>
      <w:pPr>
        <w:spacing w:line="360" w:lineRule="auto"/>
        <w:ind w:firstLine="422" w:firstLineChars="200"/>
        <w:rPr>
          <w:rFonts w:hint="eastAsia" w:asciiTheme="minorEastAsia" w:hAnsiTheme="minorEastAsia" w:eastAsiaTheme="minorEastAsia" w:cstheme="minorEastAsia"/>
          <w:b/>
          <w:bCs/>
          <w:sz w:val="21"/>
          <w:szCs w:val="21"/>
          <w:lang w:val="en-US" w:eastAsia="zh-CN"/>
        </w:rPr>
      </w:pPr>
    </w:p>
    <w:p>
      <w:pPr>
        <w:spacing w:line="360" w:lineRule="auto"/>
        <w:ind w:firstLine="422" w:firstLineChars="200"/>
        <w:rPr>
          <w:rFonts w:hint="eastAsia" w:asciiTheme="minorEastAsia" w:hAnsiTheme="minorEastAsia" w:eastAsiaTheme="minorEastAsia" w:cstheme="minorEastAsia"/>
          <w:b/>
          <w:bCs/>
          <w:sz w:val="21"/>
          <w:szCs w:val="21"/>
          <w:lang w:val="en-US" w:eastAsia="zh-CN"/>
        </w:rPr>
        <w:sectPr>
          <w:pgSz w:w="11906" w:h="16838"/>
          <w:pgMar w:top="1440" w:right="1800" w:bottom="1440" w:left="1800" w:header="851" w:footer="992" w:gutter="0"/>
          <w:cols w:space="425" w:num="1"/>
          <w:docGrid w:type="lines" w:linePitch="312" w:charSpace="0"/>
        </w:sectPr>
      </w:pPr>
    </w:p>
    <w:p>
      <w:pPr>
        <w:spacing w:line="360" w:lineRule="auto"/>
        <w:ind w:firstLine="640" w:firstLineChars="200"/>
        <w:jc w:val="center"/>
        <w:rPr>
          <w:rFonts w:hint="eastAsia" w:asciiTheme="majorEastAsia" w:hAnsiTheme="majorEastAsia" w:eastAsiaTheme="majorEastAsia" w:cstheme="majorEastAsia"/>
          <w:b w:val="0"/>
          <w:bCs w:val="0"/>
          <w:sz w:val="32"/>
          <w:szCs w:val="32"/>
          <w:lang w:val="en-US" w:eastAsia="zh-CN"/>
        </w:rPr>
      </w:pPr>
      <w:r>
        <w:rPr>
          <w:rFonts w:hint="eastAsia" w:asciiTheme="majorEastAsia" w:hAnsiTheme="majorEastAsia" w:eastAsiaTheme="majorEastAsia" w:cstheme="majorEastAsia"/>
          <w:b w:val="0"/>
          <w:bCs w:val="0"/>
          <w:sz w:val="32"/>
          <w:szCs w:val="32"/>
          <w:lang w:val="en-US" w:eastAsia="zh-CN"/>
        </w:rPr>
        <w:t>融媒时代新闻导语创作“四要”</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导语”即一篇新闻的开头导读，它以极其精简的文句，简明扼要地概括出新闻中最新鲜、最具特点的事实。好的导语能够起到提振全文、引导读者的作用。特别是在注意力成为稀缺资源的融媒时代，导语的作用更加凸显。笔者认为，好的新闻导语必须在“抢眼”上下功夫，下面进行具体分析。</w:t>
      </w:r>
    </w:p>
    <w:p>
      <w:pPr>
        <w:spacing w:line="360" w:lineRule="auto"/>
        <w:ind w:firstLine="480" w:firstLineChars="20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新闻导语要“重时重事”</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“时效”是新闻三要素之一，在新闻报道中具有极为重要的作用。对于导语而言，时效的重要性不言而喻。导语的时效重在突出新闻的时间元素，以及新闻事件的最新进展。</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对于重大题材新闻或突发事件新闻而言，最重要的就是时效，所以，在导语中必须凸显新闻事件发生的具体时间。</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例如，中国经济网报道：“中国地震台网正式测定：2020年3月17日10时30分在四川宜宾市长宁县(北纬28.67度，东经104.99度)发生3.6级地震，震源深度10千米。”此导语就将突发事件中的时间要素放置在前端，凸显出时效性。</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又如澎湃新闻在报道孙杨被禁赛8年的新闻时，导语是这么写的：“新华社洛桑2月28日电，国际体育仲裁法庭裁决：孙杨被禁赛8年，即日起生效！”孙杨被禁赛在我国可谓重大新闻，所以在澎湃新闻的导语中就突出了国际体育仲裁法庭的裁决结果出炉时间“2月28日”，同时也指出了孙杨禁赛结果生效时间“即日起生效”。</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除此之外，对于展现事件发展的新闻而言，时效也同样重要。虽然此类新闻的发展没有明确的时间界限，但新闻事件也在不断发展中。所以，在撰写此类新闻的导语时，应将事件的最新进展展示出来。</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例如《经济日报》于2020年3月16日刊出的《江苏：全力推动经济循环畅通》，该报道的导语是这么写的：“一手抓疫情防控，一手抓经济社会发展，这是近一段时期江苏省的工作重心。不久前，江苏省发布12个方面50条政策措施，在做好疫情防控工作的前提下，推动全省经济循环畅通和稳定持续发展。如今，江苏省疫情防控形势持续向好，企业正在快速有序复工，社会生活逐步进入正常轨道。”这则导语就完整描述了新闻事件的进展过程，不仅点明了近期江苏省的工作重点，而且表明了为推动经济复苏江苏省出台的一系列利好政策，以及在防控成效持续向好的情形下江苏省经济复苏的最新进展。</w:t>
      </w:r>
    </w:p>
    <w:p>
      <w:pPr>
        <w:spacing w:line="360" w:lineRule="auto"/>
        <w:ind w:firstLine="480" w:firstLineChars="20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新闻导语要注重“全面凝练”</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由于导语在新闻报道中起到提纲挈领的作用，所以在撰写导语时要注重遣词用句的凝练，向“小而美”的方向发展。但实际上，目前有许多新闻的导语还较为冗长或较为平淡，无法激起读者的阅读欲，出现此类情况多是由于编辑记者总结“中心思想”的能力不足，无法提炼出内容中有价值的信息。</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比如：2018年5月13日，浙江在线报道丽水一名高中生充钱观看色情直播牵出千万大案的新闻，导语是这样写的：“这几年，网络视频直播发展火爆，产生了一大批网络直播平台和专职的网络主播。中国互联网络信息中心发布的第41次《中国互联网络发展统计报告》显示……不过，网络直播也成为了当前网络违法犯罪的新平台，一些低俗、恶俗信息借助网络直播平台快速传播，更有人利用平台组织淫秽色情表演、传播淫秽物品攫取暴利。网络直播环境需要得到净化。从今年年初开始，全省公安机关组织开展了为期一年的网上秩序整治专项行动，打击网络传播淫秽物品、网络组织淫秽表演等违法犯罪和整治网络直播平台作为专项重点工作之一。”这则导语最大的失误在于，在长达262字的导语中竟然没有任何与新闻内容相关的信息，却将无关的背景材料大量堆叠在新闻最为重要的导语之中。</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同一则新闻《钱江晚报》的导语却只用了70个字：“违法直播之所以不断涌现，是因为技术上很容易搭建，钱来得快。一些涉黄视频甚至都抓取自其他涉黄直播平台，而涉世未深的少年却偷拿家里的钱进行打赏。”</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正所谓“片言可以明百意”，新闻导语要简明扼要是业内所秉持的一致观点，简明的导语不仅是对新闻内容的高度概括，同时也最能体现编辑记者的专业素养。我国有些媒体在导语撰写上可谓“惜字如金”。例如《人民日报》于2020年3月15日报道江苏省新冠肺炎确诊病例全出院时导语仅为9个字：“江苏确诊病例全出院！”又如：中国新闻网在报道重庆确诊病例清零时导语也非常凝练：重庆新冠肺炎住院确诊病例“清零”。</w:t>
      </w:r>
    </w:p>
    <w:p>
      <w:pPr>
        <w:spacing w:line="360" w:lineRule="auto"/>
        <w:ind w:firstLine="480" w:firstLineChars="20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新闻导语要力求“一鸣惊人”</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新闻导语的类型有多种：平叙式、设问式、引语式等，每种类型都有其优势所在，编辑记者只需根据文章特点科学运用即可。</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本文接下来所要探讨的是一种极具转折感、艺术感的导语，如果编辑记者在撰写导语时能够转变思维，善于利用转换、转折、反差、对比等方式，就能收到“一鸣惊人”的效果。</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1.褒贬转换法</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对于此类导语的写法，欲扬先抑或欲抑先扬皆可，以制造出悬念、起伏，吸引读者阅读。例如《新华日报》于2019年11月11日刊载的《比特币：区块链技术首个成功运用》，该篇报道的导语就是典型的“欲抑先扬”：“比特币，无疑是近年来最热门的话题之一。它究竟是未来货币发展的必然趋势，还是疯狂炒作的又一颗‘郁金香球茎’”？该导语首先肯定了比特币作为一种新兴事物在全世界的热度，而后话锋一转又写到比特币潜在的问题，有可能成为部分人炒作圈钱的利器。</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2.对比差异法</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此类导语通过同一主体的对比凸显出差异性，以达到提振全文的目的。例如《湖南日报》于2020年3月16日刊登的《美丽乡村气象新》写道：3月16日，常德市武陵区河洑镇10个村居村道两旁和闲置荒地，均已清理平整，准备栽下樱花、银杏和果树。此前，该镇在空中草莓园附近栽种了玉兰树和樱花。今年河洑镇农村人居环境整治重在美上做文章，让农村看得见发展，留得住乡愁。该导语就是将河洑镇前后的环境做出对比，不仅让读者深切感受到乡村环境的变化，也对未来的美景产生期待。</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又如《湖南日报》于2019年4月13日刊载的《“涓涓细流”汇成爱的海洋》，该篇报道的导语是这样写的：“我需要一个电压力锅”“我想有一台自己的电子琴”“我要一辆新轮椅”……这些心愿，对于一个经济条件稍好的家庭而言，很容易实现。而对于困难家庭来说，却承载着他们无限的期待。此篇导语就将“条件稍好的家庭”和“经济困难的家庭”形成对比，显现出他们之间物质生活存在的差异，以凸显扶贫工作的重要性。</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3.自问自答法</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此方式是将读者最为关心的问题先提出来，而后自问自答，以引起读者的注意和深思。例如《经济日报》2020年3月3日刊发的《坚持实施科学防治》报道的导语：面对新冠肺炎疫情，如何让患者树立起战胜病魔的信心？医护人员的必胜信念不可少。这则导语是典型的自问自答，在导语开端就将读者最关心的问题问了出来，并在后面给出了解释。此方式能够引起读者注意以及进行思考的兴趣，使读者有兴趣将全部内容阅读完，以达到新闻传播的目的。</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4.反差罗列法</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反差罗列法是将同一新闻事件的不同情况或不同意见罗列在读者眼前，并不做过多的解释阐述，而是让读者自己去思考。这种方式能够提升新闻的内容价值，让新闻变得更加生动有趣。</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例如《羊城晚报》2020年3月3日刊登的《男子报警称被骗，警方一查发现他的钱是卖口罩骗来的》导语是这么写的：日前，一名孙姓男子来到深圳市公安局福田分局福田派出所报警称，</w:t>
      </w:r>
    </w:p>
    <w:p>
      <w:pPr>
        <w:spacing w:line="360" w:lineRule="auto"/>
        <w:ind w:firstLine="420" w:firstLineChars="200"/>
        <w:rPr>
          <w:rFonts w:hint="eastAsia" w:ascii="宋体" w:hAnsi="宋体" w:eastAsia="宋体" w:cs="宋体"/>
          <w:b w:val="0"/>
          <w:bCs w:val="0"/>
          <w:sz w:val="21"/>
          <w:szCs w:val="21"/>
          <w:lang w:val="en-US" w:eastAsia="zh-CN"/>
        </w:rPr>
      </w:pPr>
    </w:p>
    <w:p>
      <w:pPr>
        <w:spacing w:line="360" w:lineRule="auto"/>
        <w:ind w:firstLine="420" w:firstLineChars="200"/>
        <w:rPr>
          <w:rFonts w:hint="eastAsia" w:ascii="宋体" w:hAnsi="宋体" w:eastAsia="宋体" w:cs="宋体"/>
          <w:b w:val="0"/>
          <w:bCs w:val="0"/>
          <w:sz w:val="21"/>
          <w:szCs w:val="21"/>
          <w:lang w:val="en-US" w:eastAsia="zh-CN"/>
        </w:rPr>
      </w:pP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自己被某网站骗了，输掉了十几万。但警方在给孙某做笔录的过程中，却发现孙某所谓的“被网站骗了”，原来是网络赌博输掉了，而他输掉的钱里，大部分是他在网上以卖口罩名义骗来的。这则导语就是将反差极大的新闻事件罗列出来，而并未进行主观评论或其他阐述，事件的过程和结果需要读者通过阅读去寻找。</w:t>
      </w:r>
    </w:p>
    <w:p>
      <w:pPr>
        <w:spacing w:line="360" w:lineRule="auto"/>
        <w:ind w:firstLine="480" w:firstLineChars="200"/>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新闻导语要注重“拿干货说话”</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新闻导语处于新闻的前端，而且具有凝练内容核心的作用，所以编辑记者在撰写新闻导语时要注重对内容核心信息的体现。虽然目前很多的编辑记者都能做到这点，但依然还有许多导语缺乏“干货”，只呈现一些浅表的信息，让读者摸不到新闻的核心重点。</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例如《重庆日报》在2020年3月13日刊载的《川渝首次党政联席会议敲定这些大事》，该报道导语是这样写的：</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在这个重要时间节点上，我们川渝两地的党委政府通过视频连线的方式，召开了第一次党政联席会议，会议取得了圆满成功。”3月17日下午，刚刚参加完会议的市发展改革委党组书记、主任郑向东向重庆日报记者透露，重庆将在川渝双方商定的工作机制框架下，进一步协同四川相关部门，以及重庆的区县、部门，一起推动建立政府、企业、社会多层次的交流合作平台。“我们会共同努力推进川渝合作走深走实，共同争取重大项目、重大政策、重大规划取得突破性进展。”郑向东表示。</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此导语不仅过于冗长，而且缺少“干货”，读者只有看完全文之后才能知晓到底达成了哪些“大事”。实际上，编辑完全可以将敲定的大事放置在导语中，让读者一览无余。</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而《重庆日报》于2020年3月18日发出的《“1小时交通圈”成渝双核一体化》，此报道的导语可谓“干货满满”：</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“推动成渝地区双城经济圈建设四川重庆党政联席会议第一次会议召开，对加强成渝地</w:t>
      </w:r>
      <w:bookmarkStart w:id="0" w:name="_GoBack"/>
      <w:bookmarkEnd w:id="0"/>
      <w:r>
        <w:rPr>
          <w:rFonts w:hint="eastAsia" w:ascii="宋体" w:hAnsi="宋体" w:eastAsia="宋体" w:cs="宋体"/>
          <w:b w:val="0"/>
          <w:bCs w:val="0"/>
          <w:sz w:val="21"/>
          <w:szCs w:val="21"/>
          <w:lang w:val="en-US" w:eastAsia="zh-CN"/>
        </w:rPr>
        <w:t>区双城经济圈交通基础设施建设，推动交通领域更深层次互联互通提供了重要遵循。”重庆市交通局党委书记、局长许仁安表示，推动成渝地区双城经济圈建设，交通将先行。为此，两地交通部门将积极谋划，加快推动出渝出川重大通道建设，补齐基础设施领域短板，构建“多向辐射、立体互联、一体高效”的现代化成渝双城经济圈综合交通体系，打造重庆-成都双核多层、内陆最具竞争力和影响力的国际性综合交通枢纽，争取建成独具双城特色的交通强国建设先行示范区。</w:t>
      </w:r>
    </w:p>
    <w:p>
      <w:pPr>
        <w:spacing w:line="360" w:lineRule="auto"/>
        <w:ind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这则导语详细介绍了为构建成渝“一小时交通圈”成渝两市交通部门将采取的具体措施以及实施方略，使读者在阅览全文前就可知晓文章将要重点介绍的内容。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仪书宋二简">
    <w:altName w:val="宋体"/>
    <w:panose1 w:val="00000000000000000000"/>
    <w:charset w:val="00"/>
    <w:family w:val="auto"/>
    <w:pitch w:val="default"/>
    <w:sig w:usb0="00000000" w:usb1="00000000" w:usb2="00000000" w:usb3="00000000" w:csb0="00000000" w:csb1="00000000"/>
  </w:font>
  <w:font w:name="汉仪中黑简">
    <w:panose1 w:val="02010600000101010101"/>
    <w:charset w:val="86"/>
    <w:family w:val="auto"/>
    <w:pitch w:val="default"/>
    <w:sig w:usb0="00000001" w:usb1="080E0800" w:usb2="00000002" w:usb3="00000000" w:csb0="00040000" w:csb1="00000000"/>
  </w:font>
  <w:font w:name="汉仪楷体简">
    <w:altName w:val="宋体"/>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1514E5"/>
    <w:rsid w:val="000060F5"/>
    <w:rsid w:val="000205FD"/>
    <w:rsid w:val="00115715"/>
    <w:rsid w:val="001514E5"/>
    <w:rsid w:val="00167250"/>
    <w:rsid w:val="0017318B"/>
    <w:rsid w:val="00174891"/>
    <w:rsid w:val="00181AE5"/>
    <w:rsid w:val="00190183"/>
    <w:rsid w:val="001B452E"/>
    <w:rsid w:val="0022290E"/>
    <w:rsid w:val="002264AE"/>
    <w:rsid w:val="002568BF"/>
    <w:rsid w:val="00257FDF"/>
    <w:rsid w:val="002B09B0"/>
    <w:rsid w:val="002C5AB9"/>
    <w:rsid w:val="002D3A7E"/>
    <w:rsid w:val="002E5549"/>
    <w:rsid w:val="00313674"/>
    <w:rsid w:val="003147B1"/>
    <w:rsid w:val="00317818"/>
    <w:rsid w:val="003477A3"/>
    <w:rsid w:val="003953CE"/>
    <w:rsid w:val="003A6CE3"/>
    <w:rsid w:val="003D5F34"/>
    <w:rsid w:val="004007F9"/>
    <w:rsid w:val="00415874"/>
    <w:rsid w:val="004158AA"/>
    <w:rsid w:val="00435A32"/>
    <w:rsid w:val="00447C45"/>
    <w:rsid w:val="004872B4"/>
    <w:rsid w:val="004A2286"/>
    <w:rsid w:val="00507568"/>
    <w:rsid w:val="005414B7"/>
    <w:rsid w:val="005459A9"/>
    <w:rsid w:val="00552AF7"/>
    <w:rsid w:val="005755BE"/>
    <w:rsid w:val="005960E1"/>
    <w:rsid w:val="005C0EF9"/>
    <w:rsid w:val="005C2BBB"/>
    <w:rsid w:val="005F199A"/>
    <w:rsid w:val="00600623"/>
    <w:rsid w:val="00697259"/>
    <w:rsid w:val="006C2BDD"/>
    <w:rsid w:val="006F06DE"/>
    <w:rsid w:val="007005D8"/>
    <w:rsid w:val="007124CD"/>
    <w:rsid w:val="0071685F"/>
    <w:rsid w:val="007178BD"/>
    <w:rsid w:val="00731B6A"/>
    <w:rsid w:val="00767F4C"/>
    <w:rsid w:val="00781EC9"/>
    <w:rsid w:val="00785821"/>
    <w:rsid w:val="007A1813"/>
    <w:rsid w:val="007B0009"/>
    <w:rsid w:val="007C385A"/>
    <w:rsid w:val="007D49CB"/>
    <w:rsid w:val="007E1856"/>
    <w:rsid w:val="007E375A"/>
    <w:rsid w:val="007E4538"/>
    <w:rsid w:val="007F30CC"/>
    <w:rsid w:val="00826E82"/>
    <w:rsid w:val="008276A7"/>
    <w:rsid w:val="008358E9"/>
    <w:rsid w:val="0084144E"/>
    <w:rsid w:val="008F58D5"/>
    <w:rsid w:val="00912DAB"/>
    <w:rsid w:val="00913123"/>
    <w:rsid w:val="00920F8E"/>
    <w:rsid w:val="00931937"/>
    <w:rsid w:val="009371D3"/>
    <w:rsid w:val="00956E51"/>
    <w:rsid w:val="00972167"/>
    <w:rsid w:val="009F33FD"/>
    <w:rsid w:val="00A237D9"/>
    <w:rsid w:val="00A47689"/>
    <w:rsid w:val="00A8022C"/>
    <w:rsid w:val="00AD0E15"/>
    <w:rsid w:val="00AD6C01"/>
    <w:rsid w:val="00AD70B1"/>
    <w:rsid w:val="00AE06E0"/>
    <w:rsid w:val="00B018FB"/>
    <w:rsid w:val="00B542C1"/>
    <w:rsid w:val="00B55A74"/>
    <w:rsid w:val="00B64146"/>
    <w:rsid w:val="00B70FCB"/>
    <w:rsid w:val="00B73A01"/>
    <w:rsid w:val="00B869A3"/>
    <w:rsid w:val="00BB6000"/>
    <w:rsid w:val="00BB6AA9"/>
    <w:rsid w:val="00BF0FE2"/>
    <w:rsid w:val="00C02FE2"/>
    <w:rsid w:val="00C23EE5"/>
    <w:rsid w:val="00C319BF"/>
    <w:rsid w:val="00C46098"/>
    <w:rsid w:val="00C55E61"/>
    <w:rsid w:val="00C60F5A"/>
    <w:rsid w:val="00CC51D4"/>
    <w:rsid w:val="00CE42A3"/>
    <w:rsid w:val="00CF2DEB"/>
    <w:rsid w:val="00D11BB2"/>
    <w:rsid w:val="00D13903"/>
    <w:rsid w:val="00D21E9A"/>
    <w:rsid w:val="00DA2A07"/>
    <w:rsid w:val="00DA2DD8"/>
    <w:rsid w:val="00DA317E"/>
    <w:rsid w:val="00DB4693"/>
    <w:rsid w:val="00DC0A38"/>
    <w:rsid w:val="00E162CC"/>
    <w:rsid w:val="00E26BA2"/>
    <w:rsid w:val="00E32E56"/>
    <w:rsid w:val="00E33CF3"/>
    <w:rsid w:val="00E4488F"/>
    <w:rsid w:val="00E571A1"/>
    <w:rsid w:val="00E660D0"/>
    <w:rsid w:val="00EC1B51"/>
    <w:rsid w:val="00F37B13"/>
    <w:rsid w:val="00F43739"/>
    <w:rsid w:val="00F8757F"/>
    <w:rsid w:val="00F94B1B"/>
    <w:rsid w:val="00FB045E"/>
    <w:rsid w:val="0BFC0C1E"/>
    <w:rsid w:val="1B716621"/>
    <w:rsid w:val="1EBA7D2D"/>
    <w:rsid w:val="256C2B78"/>
    <w:rsid w:val="2B1A6060"/>
    <w:rsid w:val="2CE14B5B"/>
    <w:rsid w:val="2D5C292D"/>
    <w:rsid w:val="2FAF21BD"/>
    <w:rsid w:val="31D348C3"/>
    <w:rsid w:val="48347E46"/>
    <w:rsid w:val="499E3BFB"/>
    <w:rsid w:val="4DAB6E1D"/>
    <w:rsid w:val="4E6E5D35"/>
    <w:rsid w:val="51363DAD"/>
    <w:rsid w:val="59744A0B"/>
    <w:rsid w:val="621F6AC6"/>
    <w:rsid w:val="63770902"/>
    <w:rsid w:val="63CC34DA"/>
    <w:rsid w:val="719A7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5449C-B94B-461F-8010-C04BF3645421}">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107</Words>
  <Characters>107</Characters>
  <Lines>9</Lines>
  <Paragraphs>2</Paragraphs>
  <TotalTime>3</TotalTime>
  <ScaleCrop>false</ScaleCrop>
  <LinksUpToDate>false</LinksUpToDate>
  <CharactersWithSpaces>119</CharactersWithSpaces>
  <Application>WPS Office_11.1.0.11753_F1E327BC-269C-435d-A152-05C5408002CA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2019-06-19T06:32:00Z</dcterms:created>
  <dc:creator>Windows 用户</dc:creator>
  <cp:lastModifiedBy>杨江誌華</cp:lastModifiedBy>
  <cp:lastPrinted>2018-10-12T08:16:00Z</cp:lastPrinted>
  <dcterms:modified xsi:type="dcterms:W3CDTF">2022-08-11T05:57:05Z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9549F0CF45544FC1803F4BDB914DB435</vt:lpwstr>
  </property>
</Properties>
</file>