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jc w:val="both"/>
        <w:rPr>
          <w:rFonts w:hint="eastAsia" w:ascii="仿宋" w:hAnsi="仿宋" w:eastAsia="仿宋" w:cs="仿宋"/>
          <w:bCs/>
          <w:w w:val="80"/>
          <w:sz w:val="30"/>
          <w:szCs w:val="30"/>
          <w:lang w:val="en-US" w:eastAsia="zh-CN"/>
        </w:rPr>
      </w:pPr>
      <w:r>
        <w:rPr>
          <w:rFonts w:hint="eastAsia" w:ascii="仿宋" w:hAnsi="仿宋" w:eastAsia="仿宋" w:cs="仿宋"/>
          <w:bCs/>
          <w:w w:val="80"/>
          <w:sz w:val="30"/>
          <w:szCs w:val="30"/>
        </w:rPr>
        <w:t>附件</w:t>
      </w:r>
      <w:r>
        <w:rPr>
          <w:rFonts w:hint="eastAsia" w:ascii="仿宋" w:hAnsi="仿宋" w:eastAsia="仿宋" w:cs="仿宋"/>
          <w:bCs/>
          <w:w w:val="80"/>
          <w:sz w:val="30"/>
          <w:szCs w:val="30"/>
          <w:lang w:val="en-US" w:eastAsia="zh-CN"/>
        </w:rPr>
        <w:t xml:space="preserve">2         </w:t>
      </w:r>
    </w:p>
    <w:p>
      <w:pPr>
        <w:pStyle w:val="4"/>
        <w:spacing w:line="240" w:lineRule="auto"/>
        <w:jc w:val="center"/>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采购项目需求说明</w:t>
      </w:r>
    </w:p>
    <w:p>
      <w:pPr>
        <w:spacing w:line="360" w:lineRule="auto"/>
        <w:rPr>
          <w:rFonts w:hint="eastAsia" w:ascii="宋体" w:hAnsi="宋体" w:cs="宋体"/>
          <w:b/>
          <w:color w:val="000000"/>
          <w:sz w:val="30"/>
          <w:szCs w:val="30"/>
          <w:lang w:val="en-US" w:eastAsia="zh-CN"/>
        </w:rPr>
      </w:pPr>
      <w:r>
        <w:rPr>
          <w:rFonts w:hint="eastAsia" w:ascii="宋体" w:hAnsi="宋体" w:cs="宋体"/>
          <w:b/>
          <w:color w:val="000000"/>
          <w:sz w:val="30"/>
          <w:szCs w:val="30"/>
          <w:lang w:val="en-US" w:eastAsia="zh-CN"/>
        </w:rPr>
        <w:t xml:space="preserve">一、基本要求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江西旅游商贸职业学院</w:t>
      </w:r>
      <w:r>
        <w:rPr>
          <w:rFonts w:hint="eastAsia" w:ascii="宋体" w:hAnsi="宋体" w:eastAsia="宋体" w:cs="宋体"/>
          <w:color w:val="000000"/>
          <w:sz w:val="24"/>
          <w:szCs w:val="24"/>
        </w:rPr>
        <w:t>2019届毕业生就业质量年度报告》（以下简称《报告》）的内容应完全符合《教育部办公厅关于编制发布高校毕业生就业质量年度报告的通知》</w:t>
      </w:r>
      <w:r>
        <w:rPr>
          <w:rFonts w:hint="eastAsia" w:ascii="宋体" w:hAnsi="宋体" w:eastAsia="宋体" w:cs="宋体"/>
          <w:color w:val="000000"/>
          <w:sz w:val="24"/>
          <w:szCs w:val="24"/>
          <w:lang w:eastAsia="zh-CN"/>
        </w:rPr>
        <w:t>和江西省</w:t>
      </w:r>
      <w:r>
        <w:rPr>
          <w:rFonts w:hint="eastAsia" w:ascii="宋体" w:hAnsi="宋体" w:eastAsia="宋体" w:cs="宋体"/>
          <w:color w:val="000000"/>
          <w:sz w:val="24"/>
          <w:szCs w:val="24"/>
          <w:lang w:val="en-US" w:eastAsia="zh-CN"/>
        </w:rPr>
        <w:t>教育厅2019年</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赣教就办字〔2019〕14 号</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文件</w:t>
      </w:r>
      <w:r>
        <w:rPr>
          <w:rFonts w:hint="eastAsia" w:ascii="宋体" w:hAnsi="宋体" w:eastAsia="宋体" w:cs="宋体"/>
          <w:color w:val="000000"/>
          <w:sz w:val="24"/>
          <w:szCs w:val="24"/>
          <w:lang w:val="en-US" w:eastAsia="zh-CN"/>
        </w:rPr>
        <w:t>对高校毕业生就业质量年度报告的相关</w:t>
      </w:r>
      <w:r>
        <w:rPr>
          <w:rFonts w:hint="eastAsia" w:ascii="宋体" w:hAnsi="宋体" w:eastAsia="宋体" w:cs="宋体"/>
          <w:color w:val="000000"/>
          <w:sz w:val="24"/>
          <w:szCs w:val="24"/>
        </w:rPr>
        <w:t xml:space="preserve">要求，表述清晰、简练，排版规范、美观。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2、《报告》主要内容要客观反映我校2019届毕业生就业的基本情况、就创业工作举措、就业质量相关分析</w:t>
      </w:r>
      <w:r>
        <w:rPr>
          <w:rFonts w:hint="eastAsia" w:ascii="宋体" w:hAnsi="宋体" w:eastAsia="宋体" w:cs="宋体"/>
          <w:color w:val="000000"/>
          <w:sz w:val="24"/>
          <w:szCs w:val="24"/>
          <w:lang w:eastAsia="zh-CN"/>
        </w:rPr>
        <w:t>、就业</w:t>
      </w:r>
      <w:r>
        <w:rPr>
          <w:rFonts w:hint="eastAsia" w:ascii="宋体" w:hAnsi="宋体" w:eastAsia="宋体" w:cs="宋体"/>
          <w:color w:val="000000"/>
          <w:sz w:val="24"/>
          <w:szCs w:val="24"/>
        </w:rPr>
        <w:t xml:space="preserve">发展趋势以及对教育教学的反馈等。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（1）基本情况：主要包括毕业生规模、结构、就业率、就业流向、就业质量、行业分布等。就创业工作举措包括促进毕业生就业的政策措施、指导服务等。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（2）就业质量相关分析：主要针对毕业生就业状况的数据分析、结论总结等。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就业</w:t>
      </w:r>
      <w:r>
        <w:rPr>
          <w:rFonts w:hint="eastAsia" w:ascii="宋体" w:hAnsi="宋体" w:eastAsia="宋体" w:cs="宋体"/>
          <w:color w:val="000000"/>
          <w:sz w:val="24"/>
          <w:szCs w:val="24"/>
        </w:rPr>
        <w:t xml:space="preserve">发展趋势：主要对我校毕业生就业的趋势进行研判。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（4）对教育教学的反馈：主要是通过就业状况数据为今后招生、专业设置、人才培养方案等方面的调整优化提供重要参考。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、《报告》中所涉及的统计数据应同时用数据表格和统计图</w:t>
      </w:r>
      <w:r>
        <w:rPr>
          <w:rFonts w:hint="eastAsia" w:ascii="宋体" w:hAnsi="宋体" w:eastAsia="宋体" w:cs="宋体"/>
          <w:color w:val="000000"/>
          <w:sz w:val="24"/>
          <w:szCs w:val="24"/>
          <w:lang w:eastAsia="zh-CN"/>
        </w:rPr>
        <w:t>等</w:t>
      </w:r>
      <w:r>
        <w:rPr>
          <w:rFonts w:hint="eastAsia" w:ascii="宋体" w:hAnsi="宋体" w:eastAsia="宋体" w:cs="宋体"/>
          <w:color w:val="000000"/>
          <w:sz w:val="24"/>
          <w:szCs w:val="24"/>
        </w:rPr>
        <w:t xml:space="preserve">形式展现，并配以适当的文字描述。 </w:t>
      </w:r>
    </w:p>
    <w:p>
      <w:pPr>
        <w:adjustRightInd w:val="0"/>
        <w:snapToGrid w:val="0"/>
        <w:spacing w:line="360" w:lineRule="auto"/>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二、调研及交付时间要求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 xml:space="preserve">调查抽样要涵盖学校2019届全体毕业生及就业相关行业用人单位。 </w:t>
      </w:r>
    </w:p>
    <w:p>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2.报告初稿交付时间不晚于12月1日，终稿交付时间不</w:t>
      </w:r>
      <w:r>
        <w:rPr>
          <w:rFonts w:hint="eastAsia" w:ascii="宋体" w:hAnsi="宋体" w:cs="宋体"/>
          <w:color w:val="000000"/>
          <w:sz w:val="24"/>
          <w:szCs w:val="24"/>
          <w:lang w:val="en-US" w:eastAsia="zh-CN"/>
        </w:rPr>
        <w:t>得</w:t>
      </w:r>
      <w:r>
        <w:rPr>
          <w:rFonts w:hint="eastAsia" w:ascii="宋体" w:hAnsi="宋体" w:eastAsia="宋体" w:cs="宋体"/>
          <w:color w:val="000000"/>
          <w:sz w:val="24"/>
          <w:szCs w:val="24"/>
          <w:lang w:val="en-US" w:eastAsia="zh-CN"/>
        </w:rPr>
        <w:t>晚于12月10日。</w:t>
      </w:r>
    </w:p>
    <w:p>
      <w:pPr>
        <w:spacing w:line="360" w:lineRule="auto"/>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三、保密要求 </w:t>
      </w:r>
    </w:p>
    <w:p>
      <w:pPr>
        <w:adjustRightInd w:val="0"/>
        <w:snapToGrid w:val="0"/>
        <w:spacing w:line="360" w:lineRule="auto"/>
        <w:ind w:firstLine="480" w:firstLineChars="200"/>
        <w:rPr>
          <w:color w:val="000000"/>
          <w:sz w:val="24"/>
        </w:rPr>
      </w:pPr>
      <w:r>
        <w:rPr>
          <w:rFonts w:hint="eastAsia"/>
          <w:color w:val="000000"/>
          <w:sz w:val="24"/>
        </w:rPr>
        <w:t>在</w:t>
      </w:r>
      <w:r>
        <w:rPr>
          <w:rFonts w:hint="eastAsia"/>
          <w:color w:val="000000"/>
          <w:sz w:val="24"/>
          <w:lang w:eastAsia="zh-CN"/>
        </w:rPr>
        <w:t>学校</w:t>
      </w:r>
      <w:r>
        <w:rPr>
          <w:rFonts w:hint="eastAsia"/>
          <w:color w:val="000000"/>
          <w:sz w:val="24"/>
        </w:rPr>
        <w:t>对外发布《报告》前，中标方不得以任何理由、任何方式合同外的任何第三方个人、群体或单位提供与本项目相关的信息，《报告》发布后，也不得向第三方提供《报告》中没有提及的信息，除非征得</w:t>
      </w:r>
      <w:r>
        <w:rPr>
          <w:rFonts w:hint="eastAsia"/>
          <w:color w:val="000000"/>
          <w:sz w:val="24"/>
          <w:lang w:eastAsia="zh-CN"/>
        </w:rPr>
        <w:t>学校</w:t>
      </w:r>
      <w:r>
        <w:rPr>
          <w:rFonts w:hint="eastAsia"/>
          <w:color w:val="000000"/>
          <w:sz w:val="24"/>
        </w:rPr>
        <w:t>的书面授权。</w:t>
      </w:r>
      <w:r>
        <w:rPr>
          <w:color w:val="000000"/>
          <w:sz w:val="24"/>
        </w:rPr>
        <w:t xml:space="preserve"> </w:t>
      </w:r>
    </w:p>
    <w:p>
      <w:pPr>
        <w:pStyle w:val="5"/>
        <w:spacing w:line="500" w:lineRule="exact"/>
        <w:ind w:firstLine="0"/>
        <w:jc w:val="both"/>
        <w:rPr>
          <w:rFonts w:hint="eastAsia" w:ascii="黑体" w:hAnsi="黑体" w:eastAsia="黑体" w:cs="黑体"/>
          <w:color w:val="000000"/>
          <w:sz w:val="32"/>
          <w:szCs w:val="32"/>
        </w:rPr>
      </w:pPr>
      <w:bookmarkStart w:id="0" w:name="_Toc223407306"/>
      <w:bookmarkStart w:id="1" w:name="_Toc229412057"/>
      <w:r>
        <w:rPr>
          <w:rFonts w:hint="eastAsia" w:ascii="宋体" w:hAnsi="宋体" w:eastAsia="宋体" w:cs="宋体"/>
          <w:color w:val="000000"/>
        </w:rPr>
        <w:t xml:space="preserve">                  </w:t>
      </w:r>
      <w:r>
        <w:rPr>
          <w:rFonts w:hint="eastAsia" w:ascii="黑体" w:hAnsi="黑体" w:eastAsia="黑体" w:cs="黑体"/>
          <w:color w:val="000000"/>
          <w:sz w:val="32"/>
          <w:szCs w:val="32"/>
        </w:rPr>
        <w:t xml:space="preserve"> </w:t>
      </w:r>
      <w:bookmarkStart w:id="2" w:name="_Toc16042"/>
      <w:bookmarkStart w:id="3" w:name="_Toc5171"/>
      <w:r>
        <w:rPr>
          <w:rStyle w:val="12"/>
          <w:rFonts w:hint="eastAsia" w:ascii="黑体" w:hAnsi="黑体" w:eastAsia="黑体" w:cs="黑体"/>
          <w:b/>
          <w:color w:val="000000"/>
          <w:sz w:val="32"/>
          <w:szCs w:val="32"/>
          <w:lang w:eastAsia="zh-CN"/>
        </w:rPr>
        <w:t>二、</w:t>
      </w:r>
      <w:r>
        <w:rPr>
          <w:rStyle w:val="12"/>
          <w:rFonts w:hint="eastAsia" w:ascii="黑体" w:hAnsi="黑体" w:eastAsia="黑体" w:cs="黑体"/>
          <w:b/>
          <w:color w:val="000000"/>
          <w:sz w:val="32"/>
          <w:szCs w:val="32"/>
        </w:rPr>
        <w:t>评标办法</w:t>
      </w:r>
      <w:bookmarkEnd w:id="0"/>
      <w:bookmarkEnd w:id="1"/>
      <w:bookmarkEnd w:id="2"/>
      <w:bookmarkEnd w:id="3"/>
      <w:bookmarkStart w:id="4" w:name="_Hlt204508754"/>
      <w:bookmarkEnd w:id="4"/>
      <w:r>
        <w:rPr>
          <w:rStyle w:val="12"/>
          <w:rFonts w:hint="eastAsia" w:ascii="黑体" w:hAnsi="黑体" w:eastAsia="黑体" w:cs="黑体"/>
          <w:b/>
          <w:color w:val="000000"/>
          <w:sz w:val="32"/>
          <w:szCs w:val="32"/>
        </w:rPr>
        <w:t xml:space="preserve"> </w:t>
      </w:r>
      <w:r>
        <w:rPr>
          <w:rFonts w:hint="eastAsia" w:ascii="黑体" w:hAnsi="黑体" w:eastAsia="黑体" w:cs="黑体"/>
          <w:bCs/>
          <w:color w:val="000000"/>
          <w:kern w:val="44"/>
          <w:sz w:val="32"/>
          <w:szCs w:val="32"/>
        </w:rPr>
        <w:t xml:space="preserve">   </w:t>
      </w:r>
    </w:p>
    <w:p>
      <w:pPr>
        <w:spacing w:line="360" w:lineRule="auto"/>
        <w:rPr>
          <w:rFonts w:hint="eastAsia" w:ascii="宋体" w:hAnsi="宋体" w:eastAsia="宋体" w:cs="宋体"/>
          <w:b/>
          <w:color w:val="000000"/>
          <w:sz w:val="30"/>
          <w:szCs w:val="30"/>
        </w:rPr>
      </w:pPr>
      <w:r>
        <w:rPr>
          <w:rFonts w:hint="eastAsia" w:ascii="宋体" w:hAnsi="宋体" w:cs="宋体"/>
          <w:b/>
          <w:color w:val="000000"/>
          <w:sz w:val="30"/>
          <w:szCs w:val="30"/>
          <w:lang w:eastAsia="zh-CN"/>
        </w:rPr>
        <w:t>一、</w:t>
      </w:r>
      <w:r>
        <w:rPr>
          <w:rFonts w:hint="eastAsia" w:ascii="宋体" w:hAnsi="宋体" w:eastAsia="宋体" w:cs="宋体"/>
          <w:b/>
          <w:color w:val="000000"/>
          <w:sz w:val="30"/>
          <w:szCs w:val="30"/>
        </w:rPr>
        <w:t>评标方法</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本项目采取综合评标法，价格不作为供应商选择唯一标准，总费用预算不超过人民币</w:t>
      </w:r>
      <w:r>
        <w:rPr>
          <w:rFonts w:hint="eastAsia" w:ascii="宋体" w:hAnsi="宋体" w:cs="宋体"/>
          <w:color w:val="000000"/>
          <w:sz w:val="24"/>
          <w:szCs w:val="24"/>
          <w:lang w:val="en-US" w:eastAsia="zh-CN"/>
        </w:rPr>
        <w:t>36000</w:t>
      </w:r>
      <w:r>
        <w:rPr>
          <w:rFonts w:hint="eastAsia" w:ascii="宋体" w:hAnsi="宋体" w:cs="宋体"/>
          <w:color w:val="000000"/>
          <w:sz w:val="24"/>
          <w:szCs w:val="24"/>
        </w:rPr>
        <w:t>元。评标专家组将综合</w:t>
      </w:r>
      <w:bookmarkStart w:id="8" w:name="_GoBack"/>
      <w:bookmarkEnd w:id="8"/>
      <w:r>
        <w:rPr>
          <w:rFonts w:hint="eastAsia" w:ascii="宋体" w:hAnsi="宋体" w:cs="宋体"/>
          <w:color w:val="000000"/>
          <w:sz w:val="24"/>
          <w:szCs w:val="24"/>
        </w:rPr>
        <w:t>报价、技术水平、商务能力、供应商资质、实施保障与服务等方面综合考虑（具体见评分细则表）最终确定中标供应商。</w:t>
      </w:r>
    </w:p>
    <w:p>
      <w:pPr>
        <w:adjustRightInd w:val="0"/>
        <w:snapToGrid w:val="0"/>
        <w:spacing w:line="360" w:lineRule="auto"/>
        <w:rPr>
          <w:b/>
          <w:bCs/>
          <w:sz w:val="30"/>
          <w:szCs w:val="30"/>
        </w:rPr>
      </w:pPr>
      <w:r>
        <w:rPr>
          <w:rFonts w:hint="eastAsia"/>
          <w:b/>
          <w:bCs/>
          <w:sz w:val="30"/>
          <w:szCs w:val="30"/>
          <w:lang w:eastAsia="zh-CN"/>
        </w:rPr>
        <w:t>二、</w:t>
      </w:r>
      <w:r>
        <w:rPr>
          <w:rFonts w:hint="eastAsia"/>
          <w:b/>
          <w:bCs/>
          <w:sz w:val="30"/>
          <w:szCs w:val="30"/>
        </w:rPr>
        <w:t>评分细则</w:t>
      </w:r>
    </w:p>
    <w:tbl>
      <w:tblPr>
        <w:tblStyle w:val="8"/>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36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28" w:type="dxa"/>
            <w:shd w:val="clear" w:color="auto" w:fill="D9D9D9"/>
            <w:vAlign w:val="center"/>
          </w:tcPr>
          <w:p>
            <w:pPr>
              <w:spacing w:line="360" w:lineRule="auto"/>
              <w:jc w:val="center"/>
              <w:rPr>
                <w:rFonts w:hint="eastAsia" w:ascii="宋体" w:hAnsi="宋体"/>
                <w:b/>
                <w:sz w:val="24"/>
              </w:rPr>
            </w:pPr>
            <w:r>
              <w:rPr>
                <w:rFonts w:hint="eastAsia" w:ascii="宋体" w:hAnsi="宋体"/>
                <w:b/>
                <w:sz w:val="24"/>
              </w:rPr>
              <w:t>序号</w:t>
            </w:r>
          </w:p>
        </w:tc>
        <w:tc>
          <w:tcPr>
            <w:tcW w:w="7360" w:type="dxa"/>
            <w:shd w:val="clear" w:color="auto" w:fill="D9D9D9"/>
            <w:vAlign w:val="center"/>
          </w:tcPr>
          <w:p>
            <w:pPr>
              <w:spacing w:line="360" w:lineRule="auto"/>
              <w:jc w:val="center"/>
              <w:rPr>
                <w:rFonts w:ascii="宋体" w:hAnsi="宋体"/>
                <w:b/>
                <w:sz w:val="24"/>
              </w:rPr>
            </w:pPr>
            <w:r>
              <w:rPr>
                <w:rFonts w:hint="eastAsia" w:ascii="宋体" w:hAnsi="宋体"/>
                <w:b/>
                <w:sz w:val="24"/>
              </w:rPr>
              <w:t>评审因素（100分）</w:t>
            </w:r>
          </w:p>
        </w:tc>
        <w:tc>
          <w:tcPr>
            <w:tcW w:w="878" w:type="dxa"/>
            <w:shd w:val="clear" w:color="auto" w:fill="D9D9D9"/>
            <w:vAlign w:val="center"/>
          </w:tcPr>
          <w:p>
            <w:pPr>
              <w:widowControl/>
              <w:spacing w:line="360" w:lineRule="auto"/>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2" w:hRule="atLeast"/>
        </w:trPr>
        <w:tc>
          <w:tcPr>
            <w:tcW w:w="828" w:type="dxa"/>
            <w:vAlign w:val="center"/>
          </w:tcPr>
          <w:p>
            <w:pPr>
              <w:widowControl/>
              <w:spacing w:line="360" w:lineRule="auto"/>
              <w:jc w:val="center"/>
              <w:rPr>
                <w:rFonts w:hint="eastAsia" w:ascii="宋体" w:hAnsi="宋体"/>
                <w:sz w:val="24"/>
              </w:rPr>
            </w:pPr>
            <w:r>
              <w:rPr>
                <w:rFonts w:hint="eastAsia" w:ascii="宋体" w:hAnsi="宋体"/>
                <w:sz w:val="24"/>
              </w:rPr>
              <w:t>1</w:t>
            </w:r>
          </w:p>
        </w:tc>
        <w:tc>
          <w:tcPr>
            <w:tcW w:w="7360" w:type="dxa"/>
            <w:vAlign w:val="center"/>
          </w:tcPr>
          <w:p>
            <w:pPr>
              <w:spacing w:line="360" w:lineRule="auto"/>
              <w:jc w:val="both"/>
              <w:rPr>
                <w:rFonts w:ascii="宋体" w:hAnsi="宋体"/>
                <w:sz w:val="24"/>
              </w:rPr>
            </w:pPr>
            <w:r>
              <w:rPr>
                <w:rFonts w:hint="eastAsia" w:ascii="宋体" w:hAnsi="宋体"/>
                <w:sz w:val="24"/>
              </w:rPr>
              <w:t>整体技术服务方案：</w:t>
            </w:r>
          </w:p>
          <w:p>
            <w:pPr>
              <w:spacing w:line="360" w:lineRule="auto"/>
              <w:jc w:val="both"/>
              <w:rPr>
                <w:rFonts w:ascii="宋体" w:hAnsi="宋体"/>
                <w:sz w:val="24"/>
              </w:rPr>
            </w:pPr>
            <w:r>
              <w:rPr>
                <w:rFonts w:hint="eastAsia" w:ascii="宋体" w:hAnsi="宋体"/>
                <w:sz w:val="24"/>
              </w:rPr>
              <w:t>根据各响应单位针对本项目提供的方案内容（报告大纲、问卷、实施流程、人员配置、管理机制、质量保障等等）完整程度、细节全面性，措施合理性等综合评判，优秀得2</w:t>
            </w:r>
            <w:r>
              <w:rPr>
                <w:rFonts w:ascii="宋体" w:hAnsi="宋体"/>
                <w:sz w:val="24"/>
              </w:rPr>
              <w:t>1</w:t>
            </w:r>
            <w:r>
              <w:rPr>
                <w:rFonts w:hint="eastAsia" w:ascii="宋体" w:hAnsi="宋体"/>
                <w:sz w:val="24"/>
              </w:rPr>
              <w:t>-</w:t>
            </w:r>
            <w:r>
              <w:rPr>
                <w:rFonts w:ascii="宋体" w:hAnsi="宋体"/>
                <w:sz w:val="24"/>
              </w:rPr>
              <w:t>30分</w:t>
            </w:r>
            <w:r>
              <w:rPr>
                <w:rFonts w:hint="eastAsia" w:ascii="宋体" w:hAnsi="宋体"/>
                <w:sz w:val="24"/>
              </w:rPr>
              <w:t>，良得11-2</w:t>
            </w:r>
            <w:r>
              <w:rPr>
                <w:rFonts w:ascii="宋体" w:hAnsi="宋体"/>
                <w:sz w:val="24"/>
              </w:rPr>
              <w:t>0</w:t>
            </w:r>
            <w:r>
              <w:rPr>
                <w:rFonts w:hint="eastAsia" w:ascii="宋体" w:hAnsi="宋体"/>
                <w:sz w:val="24"/>
              </w:rPr>
              <w:t>分；中得1-</w:t>
            </w:r>
            <w:r>
              <w:rPr>
                <w:rFonts w:ascii="宋体" w:hAnsi="宋体"/>
                <w:sz w:val="24"/>
              </w:rPr>
              <w:t>10分</w:t>
            </w:r>
            <w:r>
              <w:rPr>
                <w:rFonts w:hint="eastAsia" w:ascii="宋体" w:hAnsi="宋体"/>
                <w:sz w:val="24"/>
              </w:rPr>
              <w:t>，</w:t>
            </w:r>
            <w:r>
              <w:rPr>
                <w:rFonts w:ascii="宋体" w:hAnsi="宋体"/>
                <w:sz w:val="24"/>
              </w:rPr>
              <w:t>差</w:t>
            </w:r>
            <w:r>
              <w:rPr>
                <w:rFonts w:hint="eastAsia" w:ascii="宋体" w:hAnsi="宋体"/>
                <w:sz w:val="24"/>
              </w:rPr>
              <w:t>得0分。</w:t>
            </w:r>
          </w:p>
        </w:tc>
        <w:tc>
          <w:tcPr>
            <w:tcW w:w="878" w:type="dxa"/>
            <w:vAlign w:val="center"/>
          </w:tcPr>
          <w:p>
            <w:pPr>
              <w:widowControl/>
              <w:spacing w:line="360" w:lineRule="auto"/>
              <w:jc w:val="center"/>
              <w:rPr>
                <w:rFonts w:ascii="宋体" w:hAnsi="宋体"/>
                <w:sz w:val="24"/>
              </w:rPr>
            </w:pPr>
            <w:r>
              <w:rPr>
                <w:rFonts w:hint="eastAsia" w:ascii="宋体" w:hAnsi="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828" w:type="dxa"/>
            <w:vAlign w:val="center"/>
          </w:tcPr>
          <w:p>
            <w:pPr>
              <w:widowControl/>
              <w:spacing w:line="360" w:lineRule="auto"/>
              <w:jc w:val="center"/>
              <w:rPr>
                <w:rFonts w:hint="eastAsia" w:ascii="宋体" w:hAnsi="宋体"/>
                <w:sz w:val="24"/>
              </w:rPr>
            </w:pPr>
            <w:r>
              <w:rPr>
                <w:rFonts w:ascii="宋体" w:hAnsi="宋体"/>
                <w:sz w:val="24"/>
              </w:rPr>
              <w:t>2</w:t>
            </w:r>
          </w:p>
        </w:tc>
        <w:tc>
          <w:tcPr>
            <w:tcW w:w="7360" w:type="dxa"/>
            <w:vAlign w:val="center"/>
          </w:tcPr>
          <w:p>
            <w:pPr>
              <w:spacing w:line="360" w:lineRule="auto"/>
              <w:jc w:val="both"/>
              <w:rPr>
                <w:rFonts w:ascii="宋体" w:hAnsi="宋体"/>
                <w:sz w:val="24"/>
              </w:rPr>
            </w:pPr>
            <w:r>
              <w:rPr>
                <w:rFonts w:hint="eastAsia" w:ascii="宋体" w:hAnsi="宋体"/>
                <w:sz w:val="24"/>
              </w:rPr>
              <w:t>研究成果：</w:t>
            </w:r>
          </w:p>
          <w:p>
            <w:pPr>
              <w:numPr>
                <w:ilvl w:val="0"/>
                <w:numId w:val="0"/>
              </w:numPr>
              <w:spacing w:line="360" w:lineRule="auto"/>
              <w:jc w:val="both"/>
              <w:rPr>
                <w:rFonts w:hint="eastAsia"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投标人与</w:t>
            </w:r>
            <w:bookmarkStart w:id="5" w:name="OLE_LINK15"/>
            <w:r>
              <w:rPr>
                <w:rFonts w:hint="eastAsia" w:ascii="宋体" w:hAnsi="宋体"/>
                <w:color w:val="000000"/>
                <w:sz w:val="24"/>
              </w:rPr>
              <w:t>本招标类似的研究成果能够被教育部引用或权威媒体报道</w:t>
            </w:r>
            <w:bookmarkEnd w:id="5"/>
            <w:r>
              <w:rPr>
                <w:rFonts w:hint="eastAsia" w:ascii="宋体" w:hAnsi="宋体"/>
                <w:color w:val="000000"/>
                <w:sz w:val="24"/>
              </w:rPr>
              <w:t>（包括教育部、新浪、搜狐、</w:t>
            </w:r>
            <w:r>
              <w:rPr>
                <w:rFonts w:hint="eastAsia" w:ascii="宋体" w:hAnsi="宋体"/>
                <w:color w:val="000000"/>
                <w:sz w:val="24"/>
                <w:lang w:eastAsia="zh-CN"/>
              </w:rPr>
              <w:t>中国</w:t>
            </w:r>
            <w:r>
              <w:rPr>
                <w:rFonts w:hint="eastAsia" w:ascii="宋体" w:hAnsi="宋体"/>
                <w:color w:val="000000"/>
                <w:sz w:val="24"/>
              </w:rPr>
              <w:t>网、腾讯、网易、</w:t>
            </w:r>
            <w:r>
              <w:rPr>
                <w:rFonts w:hint="eastAsia" w:ascii="宋体" w:hAnsi="宋体"/>
                <w:color w:val="000000"/>
                <w:sz w:val="24"/>
                <w:lang w:eastAsia="zh-CN"/>
              </w:rPr>
              <w:t>中国</w:t>
            </w:r>
            <w:r>
              <w:rPr>
                <w:rFonts w:hint="eastAsia" w:ascii="宋体" w:hAnsi="宋体"/>
                <w:color w:val="000000"/>
                <w:sz w:val="24"/>
              </w:rPr>
              <w:t>日报等一线权威媒体），有一项得1分，最多</w:t>
            </w:r>
            <w:r>
              <w:rPr>
                <w:rFonts w:ascii="宋体" w:hAnsi="宋体"/>
                <w:color w:val="000000"/>
                <w:sz w:val="24"/>
              </w:rPr>
              <w:t>5</w:t>
            </w:r>
            <w:r>
              <w:rPr>
                <w:rFonts w:hint="eastAsia" w:ascii="宋体" w:hAnsi="宋体"/>
                <w:color w:val="000000"/>
                <w:sz w:val="24"/>
              </w:rPr>
              <w:t>分（标书中提供证明材料，如网上截图等）。</w:t>
            </w:r>
          </w:p>
          <w:p>
            <w:pPr>
              <w:spacing w:line="360" w:lineRule="auto"/>
              <w:ind w:left="23" w:leftChars="11"/>
              <w:jc w:val="both"/>
              <w:rPr>
                <w:rFonts w:ascii="宋体" w:hAnsi="宋体"/>
                <w:sz w:val="24"/>
              </w:rPr>
            </w:pPr>
            <w:r>
              <w:rPr>
                <w:rFonts w:hint="eastAsia" w:ascii="宋体" w:hAnsi="宋体"/>
                <w:color w:val="000000"/>
                <w:sz w:val="24"/>
              </w:rPr>
              <w:t>2</w:t>
            </w:r>
            <w:r>
              <w:rPr>
                <w:rFonts w:hint="eastAsia" w:ascii="宋体" w:hAnsi="宋体"/>
                <w:color w:val="000000"/>
                <w:sz w:val="24"/>
                <w:lang w:val="en-US" w:eastAsia="zh-CN"/>
              </w:rPr>
              <w:t>.</w:t>
            </w:r>
            <w:r>
              <w:rPr>
                <w:rFonts w:hint="eastAsia" w:ascii="宋体" w:hAnsi="宋体"/>
                <w:color w:val="000000"/>
                <w:sz w:val="24"/>
              </w:rPr>
              <w:t>供应商能够提供与本项目相关的公开出版物或核心期刊证明研发能力及先进性，满足得5分，不满足得0分</w:t>
            </w:r>
            <w:r>
              <w:rPr>
                <w:rFonts w:ascii="宋体" w:hAnsi="宋体" w:cs="宋体"/>
                <w:kern w:val="0"/>
                <w:sz w:val="24"/>
                <w:lang w:bidi="ar"/>
              </w:rPr>
              <w:t>；</w:t>
            </w:r>
          </w:p>
        </w:tc>
        <w:tc>
          <w:tcPr>
            <w:tcW w:w="878" w:type="dxa"/>
            <w:vAlign w:val="center"/>
          </w:tcPr>
          <w:p>
            <w:pPr>
              <w:widowControl/>
              <w:spacing w:line="360" w:lineRule="auto"/>
              <w:jc w:val="center"/>
              <w:rPr>
                <w:rFonts w:hint="eastAsia" w:ascii="宋体" w:hAnsi="宋体"/>
                <w:sz w:val="24"/>
              </w:rPr>
            </w:pPr>
            <w:r>
              <w:rPr>
                <w:rFonts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828" w:type="dxa"/>
            <w:vAlign w:val="center"/>
          </w:tcPr>
          <w:p>
            <w:pPr>
              <w:spacing w:line="360" w:lineRule="auto"/>
              <w:jc w:val="center"/>
              <w:rPr>
                <w:rFonts w:hint="eastAsia" w:ascii="宋体" w:hAnsi="宋体"/>
                <w:sz w:val="24"/>
              </w:rPr>
            </w:pPr>
            <w:r>
              <w:rPr>
                <w:rFonts w:ascii="宋体" w:hAnsi="宋体"/>
                <w:sz w:val="24"/>
              </w:rPr>
              <w:t>3</w:t>
            </w:r>
          </w:p>
        </w:tc>
        <w:tc>
          <w:tcPr>
            <w:tcW w:w="7360" w:type="dxa"/>
            <w:vAlign w:val="center"/>
          </w:tcPr>
          <w:p>
            <w:pPr>
              <w:spacing w:line="360" w:lineRule="auto"/>
              <w:jc w:val="both"/>
              <w:rPr>
                <w:rFonts w:ascii="宋体" w:hAnsi="宋体"/>
                <w:sz w:val="24"/>
              </w:rPr>
            </w:pPr>
            <w:r>
              <w:rPr>
                <w:rFonts w:hint="eastAsia" w:ascii="宋体" w:hAnsi="宋体"/>
                <w:sz w:val="24"/>
              </w:rPr>
              <w:t>公司资质：</w:t>
            </w:r>
          </w:p>
          <w:p>
            <w:pPr>
              <w:spacing w:line="360" w:lineRule="auto"/>
              <w:jc w:val="both"/>
              <w:rPr>
                <w:rFonts w:ascii="宋体" w:hAnsi="宋体" w:cs="宋体"/>
                <w:sz w:val="24"/>
              </w:rPr>
            </w:pPr>
            <w:r>
              <w:rPr>
                <w:rFonts w:hint="eastAsia" w:ascii="宋体" w:hAnsi="宋体" w:cs="宋体"/>
                <w:sz w:val="24"/>
              </w:rPr>
              <w:t>1.为保证投标人对所提供的产品拥有完全的知识产权，需要提供“数据调研、数据分析及报告撰写系统</w:t>
            </w:r>
            <w:r>
              <w:rPr>
                <w:rFonts w:ascii="宋体" w:hAnsi="宋体" w:cs="宋体"/>
                <w:sz w:val="24"/>
              </w:rPr>
              <w:t>”</w:t>
            </w:r>
            <w:r>
              <w:rPr>
                <w:rFonts w:hint="eastAsia" w:ascii="宋体" w:hAnsi="宋体" w:cs="宋体"/>
                <w:sz w:val="24"/>
              </w:rPr>
              <w:t>或具有相同功能的软件系统产品登记证书，满足1项得2分，最多6分。</w:t>
            </w:r>
          </w:p>
          <w:p>
            <w:pPr>
              <w:spacing w:line="360" w:lineRule="auto"/>
              <w:jc w:val="both"/>
              <w:rPr>
                <w:rFonts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具有</w:t>
            </w:r>
            <w:r>
              <w:rPr>
                <w:rFonts w:hint="eastAsia" w:ascii="宋体" w:hAnsi="宋体" w:cs="宋体"/>
                <w:sz w:val="24"/>
              </w:rPr>
              <w:t>ISO9001认证</w:t>
            </w:r>
            <w:r>
              <w:rPr>
                <w:rFonts w:ascii="宋体" w:hAnsi="宋体" w:cs="宋体"/>
                <w:sz w:val="24"/>
              </w:rPr>
              <w:t>证书得2</w:t>
            </w:r>
            <w:r>
              <w:rPr>
                <w:rFonts w:hint="eastAsia" w:ascii="宋体" w:hAnsi="宋体" w:cs="宋体"/>
                <w:sz w:val="24"/>
              </w:rPr>
              <w:t>分，没有不得分</w:t>
            </w:r>
            <w:r>
              <w:rPr>
                <w:rFonts w:ascii="宋体" w:hAnsi="宋体" w:cs="宋体"/>
                <w:sz w:val="24"/>
              </w:rPr>
              <w:t>。</w:t>
            </w:r>
          </w:p>
          <w:p>
            <w:pPr>
              <w:spacing w:line="360" w:lineRule="auto"/>
              <w:jc w:val="both"/>
              <w:rPr>
                <w:rFonts w:ascii="宋体" w:hAnsi="宋体" w:cs="宋体"/>
                <w:sz w:val="24"/>
              </w:rPr>
            </w:pPr>
            <w:r>
              <w:rPr>
                <w:rFonts w:ascii="宋体" w:hAnsi="宋体" w:cs="宋体"/>
                <w:sz w:val="24"/>
              </w:rPr>
              <w:t>3</w:t>
            </w:r>
            <w:r>
              <w:rPr>
                <w:rFonts w:hint="eastAsia" w:ascii="宋体" w:hAnsi="宋体" w:cs="宋体"/>
                <w:sz w:val="24"/>
              </w:rPr>
              <w:t>．具有ISCCC认证证书得</w:t>
            </w:r>
            <w:r>
              <w:rPr>
                <w:rFonts w:ascii="宋体" w:hAnsi="宋体" w:cs="宋体"/>
                <w:sz w:val="24"/>
              </w:rPr>
              <w:t>2</w:t>
            </w:r>
            <w:r>
              <w:rPr>
                <w:rFonts w:hint="eastAsia" w:ascii="宋体" w:hAnsi="宋体" w:cs="宋体"/>
                <w:sz w:val="24"/>
              </w:rPr>
              <w:t>分</w:t>
            </w:r>
            <w:r>
              <w:rPr>
                <w:rFonts w:ascii="宋体" w:hAnsi="宋体" w:cs="宋体"/>
                <w:sz w:val="24"/>
              </w:rPr>
              <w:t>，</w:t>
            </w:r>
            <w:r>
              <w:rPr>
                <w:rFonts w:hint="eastAsia" w:ascii="宋体" w:hAnsi="宋体" w:cs="宋体"/>
                <w:sz w:val="24"/>
              </w:rPr>
              <w:t>没有不得分</w:t>
            </w:r>
            <w:r>
              <w:rPr>
                <w:rFonts w:ascii="宋体" w:hAnsi="宋体" w:cs="宋体"/>
                <w:sz w:val="24"/>
              </w:rPr>
              <w:t>。</w:t>
            </w:r>
          </w:p>
          <w:p>
            <w:pPr>
              <w:spacing w:line="360" w:lineRule="auto"/>
              <w:jc w:val="both"/>
              <w:rPr>
                <w:rFonts w:hint="eastAsia" w:ascii="宋体" w:hAnsi="宋体" w:cs="宋体"/>
                <w:sz w:val="24"/>
              </w:rPr>
            </w:pPr>
            <w:r>
              <w:rPr>
                <w:rFonts w:ascii="宋体" w:hAnsi="宋体" w:cs="宋体"/>
                <w:sz w:val="24"/>
              </w:rPr>
              <w:t>4</w:t>
            </w:r>
            <w:r>
              <w:rPr>
                <w:rFonts w:hint="eastAsia" w:ascii="宋体" w:hAnsi="宋体" w:cs="宋体"/>
                <w:sz w:val="24"/>
              </w:rPr>
              <w:t>.</w:t>
            </w:r>
            <w:r>
              <w:rPr>
                <w:rFonts w:ascii="宋体" w:hAnsi="宋体" w:cs="宋体"/>
                <w:kern w:val="0"/>
                <w:szCs w:val="21"/>
              </w:rPr>
              <w:t xml:space="preserve"> </w:t>
            </w:r>
            <w:r>
              <w:rPr>
                <w:rFonts w:hint="eastAsia" w:ascii="宋体" w:hAnsi="宋体" w:cs="宋体"/>
                <w:sz w:val="24"/>
              </w:rPr>
              <w:t>具有</w:t>
            </w:r>
            <w:r>
              <w:rPr>
                <w:rFonts w:ascii="宋体" w:hAnsi="宋体" w:cs="宋体"/>
                <w:kern w:val="0"/>
                <w:sz w:val="24"/>
              </w:rPr>
              <w:t>重合同守信用</w:t>
            </w:r>
            <w:r>
              <w:rPr>
                <w:rFonts w:hint="eastAsia" w:ascii="宋体" w:hAnsi="宋体" w:cs="宋体"/>
                <w:kern w:val="0"/>
                <w:sz w:val="24"/>
              </w:rPr>
              <w:t>相关</w:t>
            </w:r>
            <w:r>
              <w:rPr>
                <w:rFonts w:ascii="宋体" w:hAnsi="宋体" w:cs="宋体"/>
                <w:kern w:val="0"/>
                <w:sz w:val="24"/>
              </w:rPr>
              <w:t>证明文件得</w:t>
            </w:r>
            <w:r>
              <w:rPr>
                <w:rFonts w:hint="eastAsia" w:ascii="宋体" w:hAnsi="宋体" w:cs="宋体"/>
                <w:kern w:val="0"/>
                <w:sz w:val="24"/>
              </w:rPr>
              <w:t>2分，没有不得分</w:t>
            </w:r>
            <w:r>
              <w:rPr>
                <w:rFonts w:hint="eastAsia" w:ascii="宋体" w:hAnsi="宋体" w:cs="宋体"/>
                <w:sz w:val="24"/>
              </w:rPr>
              <w:t>。</w:t>
            </w:r>
          </w:p>
          <w:p>
            <w:pPr>
              <w:spacing w:line="360" w:lineRule="auto"/>
              <w:jc w:val="both"/>
              <w:rPr>
                <w:rFonts w:ascii="宋体" w:hAnsi="宋体"/>
                <w:sz w:val="24"/>
              </w:rPr>
            </w:pPr>
            <w:r>
              <w:rPr>
                <w:rFonts w:hint="eastAsia" w:ascii="宋体" w:hAnsi="宋体" w:cs="宋体"/>
                <w:sz w:val="24"/>
              </w:rPr>
              <w:t>以上材料</w:t>
            </w:r>
            <w:r>
              <w:rPr>
                <w:rFonts w:ascii="宋体" w:hAnsi="宋体" w:cs="宋体"/>
                <w:sz w:val="24"/>
              </w:rPr>
              <w:t>需</w:t>
            </w:r>
            <w:r>
              <w:rPr>
                <w:rFonts w:hint="eastAsia" w:ascii="宋体" w:hAnsi="宋体" w:cs="宋体"/>
                <w:sz w:val="24"/>
              </w:rPr>
              <w:t>提供</w:t>
            </w:r>
            <w:r>
              <w:rPr>
                <w:rFonts w:ascii="宋体" w:hAnsi="宋体" w:cs="宋体"/>
                <w:sz w:val="24"/>
              </w:rPr>
              <w:t>复印件加盖公章。</w:t>
            </w:r>
          </w:p>
        </w:tc>
        <w:tc>
          <w:tcPr>
            <w:tcW w:w="878" w:type="dxa"/>
            <w:vAlign w:val="center"/>
          </w:tcPr>
          <w:p>
            <w:pPr>
              <w:widowControl/>
              <w:spacing w:line="360" w:lineRule="auto"/>
              <w:jc w:val="center"/>
              <w:rPr>
                <w:rFonts w:ascii="宋体" w:hAnsi="宋体"/>
                <w:sz w:val="24"/>
              </w:rPr>
            </w:pPr>
            <w:r>
              <w:rPr>
                <w:rFonts w:ascii="宋体" w:hAnsi="宋体"/>
                <w:sz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r>
              <w:rPr>
                <w:rFonts w:ascii="宋体" w:hAnsi="宋体"/>
                <w:sz w:val="24"/>
              </w:rPr>
              <w:t>4</w:t>
            </w:r>
          </w:p>
        </w:tc>
        <w:tc>
          <w:tcPr>
            <w:tcW w:w="7360" w:type="dxa"/>
            <w:tcBorders>
              <w:top w:val="single" w:color="auto" w:sz="4" w:space="0"/>
              <w:left w:val="single" w:color="auto" w:sz="4" w:space="0"/>
              <w:bottom w:val="single" w:color="auto" w:sz="4" w:space="0"/>
              <w:right w:val="single" w:color="auto" w:sz="4" w:space="0"/>
            </w:tcBorders>
            <w:vAlign w:val="center"/>
          </w:tcPr>
          <w:p>
            <w:pPr>
              <w:spacing w:line="360" w:lineRule="auto"/>
              <w:ind w:left="4" w:leftChars="-21" w:hanging="48" w:hangingChars="20"/>
              <w:jc w:val="both"/>
              <w:rPr>
                <w:rFonts w:ascii="宋体" w:hAnsi="宋体"/>
                <w:sz w:val="24"/>
              </w:rPr>
            </w:pPr>
            <w:r>
              <w:rPr>
                <w:rFonts w:hint="eastAsia" w:ascii="宋体" w:hAnsi="宋体"/>
                <w:sz w:val="24"/>
              </w:rPr>
              <w:t>公司业绩：</w:t>
            </w:r>
          </w:p>
          <w:p>
            <w:pPr>
              <w:spacing w:line="360" w:lineRule="auto"/>
              <w:ind w:left="4" w:leftChars="-21" w:hanging="48" w:hangingChars="20"/>
              <w:jc w:val="both"/>
              <w:rPr>
                <w:rFonts w:ascii="宋体" w:hAnsi="宋体"/>
                <w:sz w:val="24"/>
              </w:rPr>
            </w:pPr>
            <w:r>
              <w:rPr>
                <w:rFonts w:hint="eastAsia" w:ascii="宋体" w:hAnsi="宋体"/>
                <w:color w:val="000000"/>
                <w:sz w:val="24"/>
              </w:rPr>
              <w:t>投标人与</w:t>
            </w:r>
            <w:bookmarkStart w:id="6" w:name="OLE_LINK18"/>
            <w:r>
              <w:rPr>
                <w:rFonts w:hint="eastAsia" w:ascii="宋体" w:hAnsi="宋体"/>
                <w:color w:val="000000"/>
                <w:sz w:val="24"/>
              </w:rPr>
              <w:t>教育部、省级以上教育主管部门开展过类似调研项目或</w:t>
            </w:r>
            <w:bookmarkStart w:id="7" w:name="OLE_LINK17"/>
            <w:r>
              <w:rPr>
                <w:rFonts w:hint="eastAsia" w:ascii="宋体" w:hAnsi="宋体"/>
                <w:color w:val="000000"/>
                <w:sz w:val="24"/>
              </w:rPr>
              <w:t>与全国985/211院校开展过</w:t>
            </w:r>
            <w:bookmarkEnd w:id="6"/>
            <w:r>
              <w:rPr>
                <w:rFonts w:hint="eastAsia" w:ascii="宋体" w:hAnsi="宋体"/>
                <w:color w:val="000000"/>
                <w:sz w:val="24"/>
              </w:rPr>
              <w:t>类似调研项目合作，有一项得2分，最多得20分</w:t>
            </w:r>
            <w:bookmarkEnd w:id="7"/>
            <w:r>
              <w:rPr>
                <w:rFonts w:hint="eastAsia" w:ascii="宋体" w:hAnsi="宋体"/>
                <w:color w:val="000000"/>
                <w:sz w:val="24"/>
              </w:rPr>
              <w:t>（加盖公章的合同复印件编入投标文件，复印件应能辨识买卖双方公章、合作内容；否则，不得分）</w:t>
            </w:r>
          </w:p>
          <w:p>
            <w:pPr>
              <w:spacing w:line="360" w:lineRule="auto"/>
              <w:ind w:left="4" w:leftChars="-21" w:hanging="48" w:hangingChars="20"/>
              <w:jc w:val="both"/>
              <w:rPr>
                <w:rFonts w:hint="eastAsia" w:ascii="宋体" w:hAnsi="宋体"/>
                <w:sz w:val="24"/>
              </w:rPr>
            </w:pPr>
            <w:r>
              <w:rPr>
                <w:rFonts w:hint="eastAsia" w:ascii="宋体" w:hAnsi="宋体"/>
                <w:color w:val="000000"/>
                <w:sz w:val="24"/>
              </w:rPr>
              <w:t>投标人</w:t>
            </w:r>
            <w:r>
              <w:rPr>
                <w:rFonts w:hint="eastAsia" w:ascii="宋体" w:hAnsi="宋体"/>
                <w:sz w:val="24"/>
              </w:rPr>
              <w:t>2016年1月1日至今与高职院校合作完成的类似项目业绩情况进行评审，每提供1份业绩证明材料</w:t>
            </w:r>
            <w:r>
              <w:rPr>
                <w:rFonts w:hint="eastAsia" w:ascii="宋体" w:hAnsi="宋体"/>
                <w:color w:val="000000"/>
                <w:sz w:val="24"/>
              </w:rPr>
              <w:t>（加盖公章的合同复印件编入投标文件，复印件应能辨识买卖双方公章、合作内容；否则，不得分）</w:t>
            </w:r>
            <w:r>
              <w:rPr>
                <w:rFonts w:hint="eastAsia" w:ascii="宋体" w:hAnsi="宋体"/>
                <w:sz w:val="24"/>
              </w:rPr>
              <w:t>得1分，满分10分。</w:t>
            </w: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trike/>
                <w:sz w:val="24"/>
              </w:rPr>
            </w:pPr>
            <w:r>
              <w:rPr>
                <w:rFonts w:ascii="宋体" w:hAnsi="宋体"/>
                <w:sz w:val="24"/>
              </w:rPr>
              <w:t>3</w:t>
            </w:r>
            <w:r>
              <w:rPr>
                <w:rFonts w:hint="eastAsia" w:ascii="宋体" w:hAnsi="宋体"/>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r>
              <w:rPr>
                <w:rFonts w:hint="eastAsia" w:ascii="宋体" w:hAnsi="宋体"/>
                <w:sz w:val="24"/>
              </w:rPr>
              <w:t>5</w:t>
            </w:r>
          </w:p>
        </w:tc>
        <w:tc>
          <w:tcPr>
            <w:tcW w:w="7360" w:type="dxa"/>
            <w:tcBorders>
              <w:top w:val="single" w:color="auto" w:sz="4" w:space="0"/>
              <w:left w:val="single" w:color="auto" w:sz="4" w:space="0"/>
              <w:bottom w:val="single" w:color="auto" w:sz="4" w:space="0"/>
              <w:right w:val="single" w:color="auto" w:sz="4" w:space="0"/>
            </w:tcBorders>
            <w:vAlign w:val="center"/>
          </w:tcPr>
          <w:p>
            <w:pPr>
              <w:spacing w:line="360" w:lineRule="auto"/>
              <w:ind w:left="4" w:leftChars="-21" w:hanging="48" w:hangingChars="20"/>
              <w:jc w:val="both"/>
              <w:rPr>
                <w:rFonts w:ascii="宋体" w:hAnsi="宋体"/>
                <w:sz w:val="24"/>
              </w:rPr>
            </w:pPr>
            <w:r>
              <w:rPr>
                <w:rFonts w:hint="eastAsia" w:ascii="宋体" w:hAnsi="宋体"/>
                <w:sz w:val="24"/>
              </w:rPr>
              <w:t>售后服务方案：</w:t>
            </w:r>
          </w:p>
          <w:p>
            <w:pPr>
              <w:spacing w:line="360" w:lineRule="auto"/>
              <w:ind w:left="4" w:leftChars="-21" w:hanging="48" w:hangingChars="20"/>
              <w:jc w:val="both"/>
              <w:rPr>
                <w:rFonts w:hint="eastAsia" w:ascii="宋体" w:hAnsi="宋体"/>
                <w:sz w:val="24"/>
              </w:rPr>
            </w:pPr>
            <w:r>
              <w:rPr>
                <w:rFonts w:hint="eastAsia" w:ascii="宋体" w:hAnsi="宋体"/>
                <w:sz w:val="24"/>
              </w:rPr>
              <w:t>根据投标人提供的售后服务承诺及提供的相关对应措施进行综合打分。优秀得</w:t>
            </w:r>
            <w:r>
              <w:rPr>
                <w:rFonts w:ascii="宋体" w:hAnsi="宋体"/>
                <w:sz w:val="24"/>
              </w:rPr>
              <w:t>4</w:t>
            </w:r>
            <w:r>
              <w:rPr>
                <w:rFonts w:hint="eastAsia" w:ascii="宋体" w:hAnsi="宋体"/>
                <w:sz w:val="24"/>
              </w:rPr>
              <w:t>分，较好得</w:t>
            </w:r>
            <w:r>
              <w:rPr>
                <w:rFonts w:ascii="宋体" w:hAnsi="宋体"/>
                <w:sz w:val="24"/>
              </w:rPr>
              <w:t>3</w:t>
            </w:r>
            <w:r>
              <w:rPr>
                <w:rFonts w:hint="eastAsia" w:ascii="宋体" w:hAnsi="宋体"/>
                <w:sz w:val="24"/>
              </w:rPr>
              <w:t>分，一般得0～</w:t>
            </w:r>
            <w:r>
              <w:rPr>
                <w:rFonts w:ascii="宋体" w:hAnsi="宋体"/>
                <w:sz w:val="24"/>
              </w:rPr>
              <w:t>2</w:t>
            </w:r>
            <w:r>
              <w:rPr>
                <w:rFonts w:hint="eastAsia" w:ascii="宋体" w:hAnsi="宋体"/>
                <w:sz w:val="24"/>
              </w:rPr>
              <w:t>分</w:t>
            </w: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ascii="宋体" w:hAnsi="宋体"/>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r>
              <w:rPr>
                <w:rFonts w:hint="eastAsia" w:ascii="宋体" w:hAnsi="宋体"/>
                <w:sz w:val="24"/>
              </w:rPr>
              <w:t>6</w:t>
            </w:r>
          </w:p>
        </w:tc>
        <w:tc>
          <w:tcPr>
            <w:tcW w:w="73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sz w:val="24"/>
              </w:rPr>
            </w:pPr>
            <w:r>
              <w:rPr>
                <w:rFonts w:ascii="宋体" w:hAnsi="宋体"/>
                <w:sz w:val="24"/>
              </w:rPr>
              <w:t>标书响应程度</w:t>
            </w:r>
            <w:r>
              <w:rPr>
                <w:rFonts w:hint="eastAsia" w:ascii="宋体" w:hAnsi="宋体"/>
                <w:sz w:val="24"/>
              </w:rPr>
              <w:t>：</w:t>
            </w:r>
          </w:p>
          <w:p>
            <w:pPr>
              <w:spacing w:line="360" w:lineRule="auto"/>
              <w:ind w:left="4" w:leftChars="-21" w:hanging="48" w:hangingChars="20"/>
              <w:jc w:val="both"/>
              <w:rPr>
                <w:rFonts w:hint="eastAsia" w:ascii="宋体" w:hAnsi="宋体"/>
                <w:sz w:val="24"/>
              </w:rPr>
            </w:pPr>
            <w:r>
              <w:rPr>
                <w:rFonts w:hint="eastAsia" w:ascii="宋体" w:hAnsi="宋体" w:cs="宋体"/>
                <w:sz w:val="24"/>
              </w:rPr>
              <w:t>响应文件的完整性、规范性，响应内容的齐全情况、格式的符合情况等。是否提供详细合理的技术方案、对招标人的实际现状是否有较全面、准确的了解；应对需求条款是否全面；是否满足招标文件的技术内容要求。</w:t>
            </w:r>
            <w:r>
              <w:rPr>
                <w:rFonts w:hint="eastAsia" w:ascii="宋体" w:hAnsi="宋体"/>
                <w:sz w:val="24"/>
              </w:rPr>
              <w:t>优秀得</w:t>
            </w:r>
            <w:r>
              <w:rPr>
                <w:rFonts w:ascii="宋体" w:hAnsi="宋体"/>
                <w:sz w:val="24"/>
              </w:rPr>
              <w:t>4</w:t>
            </w:r>
            <w:r>
              <w:rPr>
                <w:rFonts w:hint="eastAsia" w:ascii="宋体" w:hAnsi="宋体"/>
                <w:sz w:val="24"/>
              </w:rPr>
              <w:t>分，较好得</w:t>
            </w:r>
            <w:r>
              <w:rPr>
                <w:rFonts w:ascii="宋体" w:hAnsi="宋体"/>
                <w:sz w:val="24"/>
              </w:rPr>
              <w:t>3</w:t>
            </w:r>
            <w:r>
              <w:rPr>
                <w:rFonts w:hint="eastAsia" w:ascii="宋体" w:hAnsi="宋体"/>
                <w:sz w:val="24"/>
              </w:rPr>
              <w:t>分，一般得0～</w:t>
            </w:r>
            <w:r>
              <w:rPr>
                <w:rFonts w:ascii="宋体" w:hAnsi="宋体"/>
                <w:sz w:val="24"/>
              </w:rPr>
              <w:t>2</w:t>
            </w:r>
            <w:r>
              <w:rPr>
                <w:rFonts w:hint="eastAsia" w:ascii="宋体" w:hAnsi="宋体"/>
                <w:sz w:val="24"/>
              </w:rPr>
              <w:t>分</w:t>
            </w: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ascii="宋体" w:hAnsi="宋体"/>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r>
              <w:rPr>
                <w:rFonts w:hint="eastAsia" w:ascii="宋体" w:hAnsi="宋体"/>
                <w:sz w:val="24"/>
              </w:rPr>
              <w:t>7</w:t>
            </w:r>
          </w:p>
        </w:tc>
        <w:tc>
          <w:tcPr>
            <w:tcW w:w="7360" w:type="dxa"/>
            <w:tcBorders>
              <w:top w:val="single" w:color="auto" w:sz="4" w:space="0"/>
              <w:left w:val="single" w:color="auto" w:sz="4" w:space="0"/>
              <w:bottom w:val="single" w:color="auto" w:sz="4" w:space="0"/>
              <w:right w:val="single" w:color="auto" w:sz="4" w:space="0"/>
            </w:tcBorders>
            <w:vAlign w:val="center"/>
          </w:tcPr>
          <w:p>
            <w:pPr>
              <w:spacing w:line="360" w:lineRule="auto"/>
              <w:ind w:left="4" w:leftChars="-21" w:hanging="48" w:hangingChars="20"/>
              <w:jc w:val="both"/>
              <w:rPr>
                <w:rFonts w:ascii="宋体" w:hAnsi="宋体"/>
                <w:sz w:val="24"/>
              </w:rPr>
            </w:pPr>
            <w:r>
              <w:rPr>
                <w:rFonts w:ascii="宋体" w:hAnsi="宋体"/>
                <w:sz w:val="24"/>
              </w:rPr>
              <w:t>报价（权重</w:t>
            </w:r>
            <w:r>
              <w:rPr>
                <w:rFonts w:hint="eastAsia" w:ascii="宋体" w:hAnsi="宋体"/>
                <w:sz w:val="24"/>
              </w:rPr>
              <w:t>10</w:t>
            </w:r>
            <w:r>
              <w:rPr>
                <w:rFonts w:ascii="宋体" w:hAnsi="宋体"/>
                <w:sz w:val="24"/>
              </w:rPr>
              <w:t>%）得分计算公式如下：</w:t>
            </w:r>
          </w:p>
          <w:p>
            <w:pPr>
              <w:spacing w:line="360" w:lineRule="auto"/>
              <w:jc w:val="both"/>
              <w:rPr>
                <w:rFonts w:ascii="宋体" w:hAnsi="宋体"/>
                <w:sz w:val="24"/>
              </w:rPr>
            </w:pPr>
            <w:r>
              <w:rPr>
                <w:rFonts w:ascii="宋体" w:hAnsi="宋体"/>
                <w:sz w:val="24"/>
              </w:rPr>
              <w:t>满足</w:t>
            </w:r>
            <w:r>
              <w:rPr>
                <w:rFonts w:hint="eastAsia" w:ascii="宋体" w:hAnsi="宋体"/>
                <w:sz w:val="24"/>
                <w:lang w:eastAsia="zh-CN"/>
              </w:rPr>
              <w:t>招标</w:t>
            </w:r>
            <w:r>
              <w:rPr>
                <w:rFonts w:ascii="宋体" w:hAnsi="宋体"/>
                <w:sz w:val="24"/>
              </w:rPr>
              <w:t>文件要求且最低的</w:t>
            </w:r>
            <w:r>
              <w:rPr>
                <w:rFonts w:hint="eastAsia" w:ascii="宋体" w:hAnsi="宋体"/>
                <w:sz w:val="24"/>
              </w:rPr>
              <w:t>响应</w:t>
            </w:r>
            <w:r>
              <w:rPr>
                <w:rFonts w:ascii="宋体" w:hAnsi="宋体"/>
                <w:sz w:val="24"/>
              </w:rPr>
              <w:t>报价为基准价，其价格分为满分。其他</w:t>
            </w:r>
            <w:r>
              <w:rPr>
                <w:rFonts w:hint="eastAsia" w:ascii="宋体" w:hAnsi="宋体"/>
                <w:sz w:val="24"/>
              </w:rPr>
              <w:t>响应单位</w:t>
            </w:r>
            <w:r>
              <w:rPr>
                <w:rFonts w:ascii="宋体" w:hAnsi="宋体"/>
                <w:sz w:val="24"/>
              </w:rPr>
              <w:t>的价格分统一按照下列公式计算：</w:t>
            </w:r>
          </w:p>
          <w:p>
            <w:pPr>
              <w:spacing w:line="360" w:lineRule="auto"/>
              <w:ind w:left="4" w:leftChars="-21" w:hanging="48" w:hangingChars="20"/>
              <w:jc w:val="both"/>
              <w:rPr>
                <w:rFonts w:hint="eastAsia" w:ascii="宋体" w:hAnsi="宋体"/>
                <w:sz w:val="24"/>
              </w:rPr>
            </w:pPr>
            <w:r>
              <w:rPr>
                <w:rFonts w:ascii="宋体" w:hAnsi="宋体"/>
                <w:sz w:val="24"/>
              </w:rPr>
              <w:t>报价得分=(基准价／报价)×价格权值×100</w:t>
            </w:r>
          </w:p>
          <w:p>
            <w:pPr>
              <w:spacing w:line="360" w:lineRule="auto"/>
              <w:jc w:val="both"/>
              <w:rPr>
                <w:rFonts w:hint="eastAsia" w:ascii="宋体" w:hAnsi="宋体"/>
                <w:sz w:val="24"/>
              </w:rPr>
            </w:pPr>
            <w:r>
              <w:rPr>
                <w:rFonts w:hint="eastAsia" w:ascii="宋体" w:hAnsi="宋体"/>
                <w:sz w:val="24"/>
              </w:rPr>
              <w:t>评标基准价：是经初审合格满足</w:t>
            </w:r>
            <w:r>
              <w:rPr>
                <w:rFonts w:hint="eastAsia" w:ascii="宋体" w:hAnsi="宋体"/>
                <w:sz w:val="24"/>
                <w:lang w:eastAsia="zh-CN"/>
              </w:rPr>
              <w:t>招标</w:t>
            </w:r>
            <w:r>
              <w:rPr>
                <w:rFonts w:hint="eastAsia" w:ascii="宋体" w:hAnsi="宋体"/>
                <w:sz w:val="24"/>
              </w:rPr>
              <w:t>文件要求且价格最低的报价。</w:t>
            </w:r>
          </w:p>
          <w:p>
            <w:pPr>
              <w:spacing w:line="360" w:lineRule="auto"/>
              <w:jc w:val="both"/>
              <w:rPr>
                <w:rFonts w:hint="eastAsia" w:ascii="宋体" w:hAnsi="宋体"/>
                <w:sz w:val="24"/>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10</w:t>
            </w:r>
          </w:p>
        </w:tc>
      </w:tr>
    </w:tbl>
    <w:p>
      <w:pPr>
        <w:pStyle w:val="2"/>
      </w:pPr>
    </w:p>
    <w:p>
      <w:pPr>
        <w:pStyle w:val="2"/>
      </w:pPr>
    </w:p>
    <w:p>
      <w:pPr>
        <w:pStyle w:val="2"/>
      </w:pPr>
    </w:p>
    <w:p>
      <w:pPr>
        <w:pStyle w:val="2"/>
      </w:pPr>
    </w:p>
    <w:p>
      <w:pPr>
        <w:pStyle w:val="2"/>
        <w:ind w:left="0" w:leftChars="0" w:firstLine="0" w:firstLineChars="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CF"/>
    <w:rsid w:val="00505FE3"/>
    <w:rsid w:val="006513C2"/>
    <w:rsid w:val="007533B8"/>
    <w:rsid w:val="00C8215E"/>
    <w:rsid w:val="00E267CF"/>
    <w:rsid w:val="00F01BE1"/>
    <w:rsid w:val="018047AC"/>
    <w:rsid w:val="021B551E"/>
    <w:rsid w:val="0CD32F85"/>
    <w:rsid w:val="11ED651C"/>
    <w:rsid w:val="1CE05193"/>
    <w:rsid w:val="1F055D14"/>
    <w:rsid w:val="25D91EC2"/>
    <w:rsid w:val="26E05889"/>
    <w:rsid w:val="28826F1A"/>
    <w:rsid w:val="30035529"/>
    <w:rsid w:val="3E652AED"/>
    <w:rsid w:val="4BD63CEF"/>
    <w:rsid w:val="4E4F1A3C"/>
    <w:rsid w:val="4FEA6039"/>
    <w:rsid w:val="5002775B"/>
    <w:rsid w:val="515D2EB6"/>
    <w:rsid w:val="53D54F85"/>
    <w:rsid w:val="58EA08A1"/>
    <w:rsid w:val="5CDC1FC7"/>
    <w:rsid w:val="5D5C66AD"/>
    <w:rsid w:val="67ED676C"/>
    <w:rsid w:val="68F025C3"/>
    <w:rsid w:val="6CC32F55"/>
    <w:rsid w:val="70130901"/>
    <w:rsid w:val="73C2532D"/>
    <w:rsid w:val="7517540C"/>
    <w:rsid w:val="76DC5483"/>
    <w:rsid w:val="78920859"/>
    <w:rsid w:val="7C0568F0"/>
    <w:rsid w:val="7DF63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2"/>
    <w:qFormat/>
    <w:uiPriority w:val="0"/>
    <w:pPr>
      <w:keepNext/>
      <w:keepLines/>
      <w:spacing w:before="340" w:beforeLines="0" w:beforeAutospacing="0" w:after="330" w:afterLines="0" w:afterAutospacing="0" w:line="576" w:lineRule="auto"/>
      <w:outlineLvl w:val="0"/>
    </w:pPr>
    <w:rPr>
      <w:b/>
      <w:kern w:val="44"/>
      <w:sz w:val="30"/>
    </w:rPr>
  </w:style>
  <w:style w:type="paragraph" w:styleId="5">
    <w:name w:val="heading 2"/>
    <w:basedOn w:val="1"/>
    <w:next w:val="1"/>
    <w:qFormat/>
    <w:uiPriority w:val="0"/>
    <w:pPr>
      <w:keepNext/>
      <w:keepLines/>
      <w:spacing w:before="260" w:beforeLines="0" w:beforeAutospacing="0" w:after="260" w:afterLines="0" w:afterAutospacing="0" w:line="413" w:lineRule="auto"/>
      <w:ind w:firstLine="628"/>
      <w:jc w:val="center"/>
      <w:outlineLvl w:val="1"/>
    </w:pPr>
    <w:rPr>
      <w:rFonts w:ascii="Arial" w:hAnsi="Arial" w:eastAsia="黑体"/>
      <w:b/>
      <w:kern w:val="0"/>
      <w:sz w:val="32"/>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sz w:val="24"/>
    </w:rPr>
  </w:style>
  <w:style w:type="paragraph" w:styleId="3">
    <w:name w:val="Body Text"/>
    <w:basedOn w:val="1"/>
    <w:qFormat/>
    <w:uiPriority w:val="0"/>
    <w:pPr>
      <w:spacing w:line="480" w:lineRule="auto"/>
      <w:jc w:val="center"/>
    </w:pPr>
    <w:rPr>
      <w:rFonts w:ascii="宋体" w:hAnsi="宋体"/>
      <w:b/>
      <w:sz w:val="30"/>
      <w:szCs w:val="2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0"/>
    <w:rPr>
      <w:kern w:val="2"/>
      <w:sz w:val="18"/>
      <w:szCs w:val="18"/>
    </w:rPr>
  </w:style>
  <w:style w:type="character" w:customStyle="1" w:styleId="11">
    <w:name w:val="页脚 Char"/>
    <w:basedOn w:val="9"/>
    <w:link w:val="6"/>
    <w:qFormat/>
    <w:uiPriority w:val="0"/>
    <w:rPr>
      <w:kern w:val="2"/>
      <w:sz w:val="18"/>
      <w:szCs w:val="18"/>
    </w:rPr>
  </w:style>
  <w:style w:type="character" w:customStyle="1" w:styleId="12">
    <w:name w:val="标题 1 Char"/>
    <w:link w:val="4"/>
    <w:qFormat/>
    <w:uiPriority w:val="0"/>
    <w:rPr>
      <w:b/>
      <w:kern w:val="44"/>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160</Words>
  <Characters>913</Characters>
  <Lines>7</Lines>
  <Paragraphs>2</Paragraphs>
  <TotalTime>17</TotalTime>
  <ScaleCrop>false</ScaleCrop>
  <LinksUpToDate>false</LinksUpToDate>
  <CharactersWithSpaces>1071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陈小鸥</cp:lastModifiedBy>
  <dcterms:modified xsi:type="dcterms:W3CDTF">2019-10-24T07:45:05Z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